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2D79" w14:textId="77777777" w:rsidR="0008785D" w:rsidRDefault="0008785D"/>
    <w:p w14:paraId="71266C9F" w14:textId="77777777" w:rsidR="0008785D" w:rsidRDefault="0008785D"/>
    <w:p w14:paraId="6A21FEA7" w14:textId="77777777" w:rsidR="0008785D" w:rsidRDefault="00000000">
      <w:pPr>
        <w:spacing w:after="120"/>
        <w:jc w:val="center"/>
      </w:pPr>
      <w:r>
        <w:rPr>
          <w:b/>
          <w:color w:val="2E75B6"/>
          <w:sz w:val="26"/>
        </w:rPr>
        <w:t>COUNCIL FOR THE ACCREDITATION OF EDUCATOR PREPARATION (CAEP)</w:t>
      </w:r>
    </w:p>
    <w:p w14:paraId="35334647" w14:textId="77777777" w:rsidR="0008785D" w:rsidRDefault="00000000">
      <w:pPr>
        <w:spacing w:after="160"/>
        <w:jc w:val="center"/>
      </w:pPr>
      <w:r>
        <w:rPr>
          <w:b/>
          <w:color w:val="1F3E6E"/>
          <w:sz w:val="48"/>
        </w:rPr>
        <w:t>Employer Survey Report</w:t>
      </w:r>
    </w:p>
    <w:p w14:paraId="0B1BE411" w14:textId="77777777" w:rsidR="0008785D" w:rsidRDefault="00000000">
      <w:pPr>
        <w:spacing w:after="120"/>
        <w:jc w:val="center"/>
      </w:pPr>
      <w:r>
        <w:rPr>
          <w:i/>
          <w:sz w:val="26"/>
        </w:rPr>
        <w:t>Teacher Preparation Program (Programa de Preparación de Maestros – PPM)</w:t>
      </w:r>
    </w:p>
    <w:p w14:paraId="48092496" w14:textId="77777777" w:rsidR="0008785D" w:rsidRDefault="00000000">
      <w:pPr>
        <w:spacing w:after="160"/>
        <w:jc w:val="center"/>
      </w:pPr>
      <w:r>
        <w:rPr>
          <w:b/>
          <w:color w:val="1F3E6E"/>
          <w:sz w:val="26"/>
        </w:rPr>
        <w:t>University of Puerto Rico</w:t>
      </w:r>
    </w:p>
    <w:p w14:paraId="21CD621D" w14:textId="77777777" w:rsidR="0008785D" w:rsidRDefault="0008785D"/>
    <w:p w14:paraId="5F39C149" w14:textId="3E472D44" w:rsidR="0008785D" w:rsidRDefault="00000000">
      <w:pPr>
        <w:spacing w:after="120"/>
        <w:jc w:val="center"/>
      </w:pPr>
      <w:r>
        <w:t>Academic Year 2024–2025</w:t>
      </w:r>
    </w:p>
    <w:p w14:paraId="45B8E3B0" w14:textId="77777777" w:rsidR="0008785D" w:rsidRDefault="0008785D"/>
    <w:p w14:paraId="6103AC6E" w14:textId="77777777" w:rsidR="0008785D" w:rsidRDefault="0008785D"/>
    <w:p w14:paraId="64FADB77" w14:textId="77777777" w:rsidR="0008785D" w:rsidRDefault="0008785D">
      <w:pPr>
        <w:pBdr>
          <w:bottom w:val="single" w:sz="24" w:space="0" w:color="1F3E6E"/>
        </w:pBdr>
        <w:spacing w:after="120"/>
      </w:pPr>
    </w:p>
    <w:p w14:paraId="06C24677" w14:textId="77777777" w:rsidR="0008785D" w:rsidRDefault="0008785D"/>
    <w:p w14:paraId="6615FBB9" w14:textId="77777777" w:rsidR="0008785D" w:rsidRDefault="00000000">
      <w:pPr>
        <w:spacing w:after="120"/>
        <w:jc w:val="center"/>
      </w:pPr>
      <w:r>
        <w:t>Prepared for CAEP Accreditation Review</w:t>
      </w:r>
      <w:r>
        <w:br/>
        <w:t>April 2026</w:t>
      </w:r>
    </w:p>
    <w:p w14:paraId="7466E6C2" w14:textId="77777777" w:rsidR="0008785D" w:rsidRDefault="00000000">
      <w:r>
        <w:br w:type="page"/>
      </w:r>
    </w:p>
    <w:p w14:paraId="2AAF98AA" w14:textId="77777777" w:rsidR="0008785D" w:rsidRDefault="00000000">
      <w:pPr>
        <w:pStyle w:val="Heading1"/>
      </w:pPr>
      <w:r>
        <w:rPr>
          <w:rFonts w:ascii="Calibri" w:hAnsi="Calibri"/>
        </w:rPr>
        <w:lastRenderedPageBreak/>
        <w:t>Executive Summary</w:t>
      </w:r>
    </w:p>
    <w:p w14:paraId="2D8072B9" w14:textId="77777777" w:rsidR="0008785D" w:rsidRDefault="0008785D">
      <w:pPr>
        <w:pBdr>
          <w:bottom w:val="single" w:sz="12" w:space="0" w:color="1F3E6E"/>
        </w:pBdr>
        <w:spacing w:after="120"/>
      </w:pPr>
    </w:p>
    <w:p w14:paraId="33BDE931" w14:textId="77777777" w:rsidR="0008785D" w:rsidRDefault="00000000">
      <w:pPr>
        <w:spacing w:after="160"/>
      </w:pPr>
      <w:r>
        <w:t>This report presents findings from the Employer Survey administered to school principals and educational administrators as part of the continuous improvement and accreditation process of the Teacher Preparation Program (PPM) at the University of Puerto Rico. The survey was distributed through two separate links during the same academic cycle; all responses have been consolidated into a single unified dataset. Participation was anonymous; no identifying information about individual respondents is disclosed in this report.</w:t>
      </w:r>
    </w:p>
    <w:p w14:paraId="17A7C94E" w14:textId="77777777" w:rsidR="0008785D" w:rsidRDefault="00000000">
      <w:pPr>
        <w:spacing w:after="160"/>
      </w:pPr>
      <w:r>
        <w:t>The instrument evaluates PPM completers across 23 competency indicators aligned with CAEP Standards and the InTASC Model Core Teaching Standards, organized into eleven performance domains. A total of 11 school principals and educational supervisors participated. Ratings were provided on a 4-point scale (1 = Does Not Meet Expectations; 2 = Developing; 3 = Meets Expectations; 4 = Exceeds Expectations).</w:t>
      </w:r>
    </w:p>
    <w:p w14:paraId="1AE27A46" w14:textId="77777777" w:rsidR="0008785D" w:rsidRDefault="00000000">
      <w:pPr>
        <w:spacing w:after="80"/>
      </w:pPr>
      <w:r>
        <w:rPr>
          <w:b/>
        </w:rPr>
        <w:t>Key Highlights:</w:t>
      </w:r>
    </w:p>
    <w:p w14:paraId="7D798719" w14:textId="3251036F" w:rsidR="0008785D" w:rsidRDefault="004A2928">
      <w:pPr>
        <w:pStyle w:val="ListBullet"/>
        <w:spacing w:after="80"/>
        <w:ind w:left="432"/>
      </w:pPr>
      <w:r>
        <w:t>Overall mean rating: 3.30 out of 4.00 — PPM completers generally meet employer expectations, with selected areas approaching or exceeding expectations.</w:t>
      </w:r>
    </w:p>
    <w:p w14:paraId="3A40C8B6" w14:textId="77777777" w:rsidR="0008785D" w:rsidRDefault="00000000">
      <w:pPr>
        <w:pStyle w:val="ListBullet"/>
        <w:spacing w:after="80"/>
        <w:ind w:left="432"/>
      </w:pPr>
      <w:r>
        <w:t>Highest-performing domain: Learning Environment (M = 3.55).</w:t>
      </w:r>
    </w:p>
    <w:p w14:paraId="6260C6E8" w14:textId="77777777" w:rsidR="0008785D" w:rsidRDefault="00000000">
      <w:pPr>
        <w:pStyle w:val="ListBullet"/>
        <w:spacing w:after="80"/>
        <w:ind w:left="432"/>
      </w:pPr>
      <w:r>
        <w:t>Highest-rated individual indicators: Student development, safe environment planning, organized classroom, and culture of learning (all M = 3.55).</w:t>
      </w:r>
    </w:p>
    <w:p w14:paraId="35BB957D" w14:textId="77777777" w:rsidR="0008785D" w:rsidRDefault="00000000">
      <w:pPr>
        <w:pStyle w:val="ListBullet"/>
        <w:spacing w:after="80"/>
        <w:ind w:left="432"/>
      </w:pPr>
      <w:r>
        <w:t>Domain most in need of continued development: Technology Integration (M = 3.18), followed by Instructional Practice (M = 3.21).</w:t>
      </w:r>
    </w:p>
    <w:p w14:paraId="7862A2C4" w14:textId="77777777" w:rsidR="0008785D" w:rsidRDefault="00000000">
      <w:pPr>
        <w:pStyle w:val="ListBullet"/>
        <w:spacing w:after="80"/>
        <w:ind w:left="432"/>
      </w:pPr>
      <w:r>
        <w:t>Qualitative themes highlight graduates' professionalism, content knowledge, and responsibility as strengths; areas for growth include classroom management, differentiated instruction, and DEPR platform fluency.</w:t>
      </w:r>
    </w:p>
    <w:p w14:paraId="7B0B288B" w14:textId="77777777" w:rsidR="0008785D" w:rsidRDefault="00000000">
      <w:r>
        <w:br w:type="page"/>
      </w:r>
    </w:p>
    <w:p w14:paraId="761F598C" w14:textId="77777777" w:rsidR="0008785D" w:rsidRDefault="00000000">
      <w:pPr>
        <w:pStyle w:val="Heading1"/>
      </w:pPr>
      <w:r>
        <w:rPr>
          <w:rFonts w:ascii="Calibri" w:hAnsi="Calibri"/>
        </w:rPr>
        <w:lastRenderedPageBreak/>
        <w:t>1. Introduction</w:t>
      </w:r>
    </w:p>
    <w:p w14:paraId="2BBB5635" w14:textId="77777777" w:rsidR="0008785D" w:rsidRDefault="0008785D">
      <w:pPr>
        <w:pBdr>
          <w:bottom w:val="single" w:sz="12" w:space="0" w:color="1F3E6E"/>
        </w:pBdr>
        <w:spacing w:after="120"/>
      </w:pPr>
    </w:p>
    <w:p w14:paraId="4CE6FCF4" w14:textId="77777777" w:rsidR="0008785D" w:rsidRDefault="00000000">
      <w:pPr>
        <w:spacing w:after="160"/>
      </w:pPr>
      <w:r>
        <w:t>The Teacher Preparation Program (Programa de Preparación de Maestros, PPM) at the University of Puerto Rico is committed to preparing highly effective P–12 educators. As part of the program's ongoing quality assurance and compliance with CAEP accreditation standards — specifically CAEP Standard 4 (Program Impact) and Standard 5 (Provider Quality, Continuous Improvement, and Capacity) — the program systematically collects data from school principals and supervisors who directly observe program completers in their schools.</w:t>
      </w:r>
    </w:p>
    <w:p w14:paraId="54830457" w14:textId="77777777" w:rsidR="0008785D" w:rsidRDefault="00000000">
      <w:pPr>
        <w:spacing w:after="160"/>
      </w:pPr>
      <w:r>
        <w:t>During Academic Year 2024–2025, the Employer Survey was distributed via two separate links to broaden participation across school regions. Both links contained identical items; all 11 responses have been merged into one unified dataset for reporting purposes. The survey was administered anonymously to encourage candid, unbiased feedback.</w:t>
      </w:r>
    </w:p>
    <w:p w14:paraId="414A666E" w14:textId="77777777" w:rsidR="0008785D" w:rsidRDefault="00000000">
      <w:pPr>
        <w:spacing w:after="160"/>
      </w:pPr>
      <w:r>
        <w:t>The 23-item instrument is organized around competencies derived from the InTASC Model Core Teaching Standards and aligned with the CAEP framework. Domains cover learner development, content knowledge, instructional practice, learning environment, assessment, collaboration, professional learning, leadership, diversity and inclusion, and technology integration.</w:t>
      </w:r>
    </w:p>
    <w:p w14:paraId="5E486838" w14:textId="77777777" w:rsidR="0008785D" w:rsidRDefault="00000000">
      <w:r>
        <w:br w:type="page"/>
      </w:r>
    </w:p>
    <w:p w14:paraId="1AD31984" w14:textId="77777777" w:rsidR="0008785D" w:rsidRDefault="00000000">
      <w:pPr>
        <w:pStyle w:val="Heading1"/>
      </w:pPr>
      <w:r>
        <w:rPr>
          <w:rFonts w:ascii="Calibri" w:hAnsi="Calibri"/>
        </w:rPr>
        <w:lastRenderedPageBreak/>
        <w:t>2. Methodology</w:t>
      </w:r>
    </w:p>
    <w:p w14:paraId="2F86A962" w14:textId="77777777" w:rsidR="0008785D" w:rsidRDefault="0008785D">
      <w:pPr>
        <w:pBdr>
          <w:bottom w:val="single" w:sz="12" w:space="0" w:color="1F3E6E"/>
        </w:pBdr>
        <w:spacing w:after="120"/>
      </w:pPr>
    </w:p>
    <w:p w14:paraId="5C1CD291" w14:textId="77777777" w:rsidR="0008785D" w:rsidRDefault="00000000">
      <w:pPr>
        <w:pStyle w:val="Heading2"/>
      </w:pPr>
      <w:r>
        <w:rPr>
          <w:rFonts w:ascii="Calibri" w:hAnsi="Calibri"/>
        </w:rPr>
        <w:t>2.1 Survey Instrument</w:t>
      </w:r>
    </w:p>
    <w:p w14:paraId="58C6E6D5" w14:textId="77777777" w:rsidR="0008785D" w:rsidRDefault="00000000">
      <w:pPr>
        <w:spacing w:after="80"/>
      </w:pPr>
      <w:r>
        <w:t>The Employer Survey consists of 23 Likert-scale items rated on a 4-point scale, followed by three open-ended questions. The rating scale is defined as:</w:t>
      </w:r>
    </w:p>
    <w:p w14:paraId="61925145" w14:textId="77777777" w:rsidR="0008785D" w:rsidRDefault="00000000">
      <w:pPr>
        <w:pStyle w:val="ListBullet"/>
        <w:spacing w:after="80"/>
        <w:ind w:left="432"/>
      </w:pPr>
      <w:r>
        <w:t>4 – Exceeds Expectations: Performance consistently surpasses the expected standard.</w:t>
      </w:r>
    </w:p>
    <w:p w14:paraId="4544A061" w14:textId="77777777" w:rsidR="0008785D" w:rsidRDefault="00000000">
      <w:pPr>
        <w:pStyle w:val="ListBullet"/>
        <w:spacing w:after="80"/>
        <w:ind w:left="432"/>
      </w:pPr>
      <w:r>
        <w:t>3 – Meets Expectations: Performance consistently meets the expected standard.</w:t>
      </w:r>
    </w:p>
    <w:p w14:paraId="74C97AAF" w14:textId="77777777" w:rsidR="0008785D" w:rsidRDefault="00000000">
      <w:pPr>
        <w:pStyle w:val="ListBullet"/>
        <w:spacing w:after="80"/>
        <w:ind w:left="432"/>
      </w:pPr>
      <w:r>
        <w:t>2 – Developing: Performance approaches but does not consistently meet the standard.</w:t>
      </w:r>
    </w:p>
    <w:p w14:paraId="7074766B" w14:textId="77777777" w:rsidR="0008785D" w:rsidRDefault="00000000">
      <w:pPr>
        <w:pStyle w:val="ListBullet"/>
        <w:spacing w:after="80"/>
        <w:ind w:left="432"/>
      </w:pPr>
      <w:r>
        <w:t>1 – Does Not Meet Expectations: Performance does not meet the expected standard.</w:t>
      </w:r>
    </w:p>
    <w:p w14:paraId="3EEFE7D3" w14:textId="77777777" w:rsidR="0008785D" w:rsidRDefault="0008785D"/>
    <w:p w14:paraId="149D545C" w14:textId="77777777" w:rsidR="0008785D" w:rsidRDefault="00000000">
      <w:pPr>
        <w:spacing w:after="160"/>
      </w:pPr>
      <w:r>
        <w:t>The three open-ended questions solicited: (1) observed strengths of PPM graduates, (2) areas in need of improvement, and (3) additional recommendations for program enhancement. The survey was offered bilingually in English and Spanish.</w:t>
      </w:r>
    </w:p>
    <w:p w14:paraId="72BA0491" w14:textId="77777777" w:rsidR="0008785D" w:rsidRDefault="00000000">
      <w:pPr>
        <w:pStyle w:val="Heading2"/>
      </w:pPr>
      <w:r>
        <w:rPr>
          <w:rFonts w:ascii="Calibri" w:hAnsi="Calibri"/>
        </w:rPr>
        <w:t>2.2 Data Collection</w:t>
      </w:r>
    </w:p>
    <w:p w14:paraId="654E22E3" w14:textId="77777777" w:rsidR="0008785D" w:rsidRDefault="00000000">
      <w:pPr>
        <w:spacing w:after="160"/>
      </w:pPr>
      <w:r>
        <w:t>Data were collected via an online survey platform through two anonymous distribution links targeting school principals and DEPR supervisors across Puerto Rico. Link 1 was open from October 2025 through April 2026 (6 responses). Link 2 was open from March through April 2026 (5 responses). Both links used the same instrument; all 11 responses are analyzed as a single cohort.</w:t>
      </w:r>
    </w:p>
    <w:p w14:paraId="019D542E" w14:textId="77777777" w:rsidR="0008785D" w:rsidRDefault="00000000">
      <w:pPr>
        <w:pStyle w:val="Heading2"/>
      </w:pPr>
      <w:r>
        <w:rPr>
          <w:rFonts w:ascii="Calibri" w:hAnsi="Calibri"/>
        </w:rPr>
        <w:t>2.3 Confidentiality</w:t>
      </w:r>
    </w:p>
    <w:p w14:paraId="0BB329E7" w14:textId="77777777" w:rsidR="0008785D" w:rsidRDefault="00000000">
      <w:pPr>
        <w:spacing w:after="160"/>
      </w:pPr>
      <w:r>
        <w:t>The survey was administered anonymously. No names, school identifiers, or contact information are reported. Respondent profiles in this report reflect only role category, geographic region, education level, and gender — the minimum demographic context necessary for interpretation. Qualitative comments are presented without attribution beyond role and region.</w:t>
      </w:r>
    </w:p>
    <w:p w14:paraId="735B3771" w14:textId="77777777" w:rsidR="0008785D" w:rsidRDefault="00000000">
      <w:pPr>
        <w:pStyle w:val="Heading2"/>
      </w:pPr>
      <w:r>
        <w:rPr>
          <w:rFonts w:ascii="Calibri" w:hAnsi="Calibri"/>
        </w:rPr>
        <w:t>2.4 Respondents</w:t>
      </w:r>
    </w:p>
    <w:p w14:paraId="31071122" w14:textId="77777777" w:rsidR="00E4638A" w:rsidRDefault="00000000">
      <w:pPr>
        <w:spacing w:after="160"/>
      </w:pPr>
      <w:r>
        <w:t>A total of 11 school principals, educational supervisors, and administrators completed the survey. Respondents are affiliated with schools and regional offices of the Puerto Rico Department of Education (DEPR), primarily in the western and north-central regions of Puerto Rico.</w:t>
      </w:r>
      <w:r w:rsidR="00E4638A">
        <w:t xml:space="preserve"> </w:t>
      </w:r>
    </w:p>
    <w:p w14:paraId="0D6ADC0F" w14:textId="12CA52E1" w:rsidR="0008785D" w:rsidRDefault="00E4638A">
      <w:pPr>
        <w:spacing w:after="160"/>
      </w:pPr>
      <w:r>
        <w:rPr>
          <w:rStyle w:val="Strong"/>
        </w:rPr>
        <w:t>Limitation of Sample</w:t>
      </w:r>
      <w:r>
        <w:br/>
        <w:t>The current dataset represents an initial phase of evidence collection. The EPP is actively working to expand the employer respondent pool across additional regions and school contexts to strengthen the representativeness and generalizability of findings.</w:t>
      </w:r>
      <w:r>
        <w:t xml:space="preserve"> </w:t>
      </w:r>
      <w:r>
        <w:t xml:space="preserve">It is important to note that all participants in this survey are external stakeholders (e.g., school principals, supervisors, and administrators). While they provide valuable perspectives on program completers, not all respondents may have had direct </w:t>
      </w:r>
      <w:r>
        <w:lastRenderedPageBreak/>
        <w:t>supervisory responsibility over recent PPM completers. The EPP is refining its data collection procedures to ensure that future responses are obtained primarily from direct supervisors of program completers.</w:t>
      </w:r>
    </w:p>
    <w:p w14:paraId="5788D9D4" w14:textId="77777777" w:rsidR="0008785D" w:rsidRDefault="00000000">
      <w:r>
        <w:br w:type="page"/>
      </w:r>
    </w:p>
    <w:p w14:paraId="38198491" w14:textId="77777777" w:rsidR="0008785D" w:rsidRDefault="00000000">
      <w:pPr>
        <w:pStyle w:val="Heading1"/>
      </w:pPr>
      <w:r>
        <w:rPr>
          <w:rFonts w:ascii="Calibri" w:hAnsi="Calibri"/>
        </w:rPr>
        <w:lastRenderedPageBreak/>
        <w:t>3. Respondent Profiles</w:t>
      </w:r>
    </w:p>
    <w:p w14:paraId="45FF6D64" w14:textId="77777777" w:rsidR="0008785D" w:rsidRDefault="0008785D">
      <w:pPr>
        <w:pBdr>
          <w:bottom w:val="single" w:sz="12" w:space="0" w:color="1F3E6E"/>
        </w:pBdr>
        <w:spacing w:after="120"/>
      </w:pPr>
    </w:p>
    <w:p w14:paraId="73147070" w14:textId="77777777" w:rsidR="0008785D" w:rsidRDefault="00000000">
      <w:pPr>
        <w:spacing w:after="160"/>
      </w:pPr>
      <w:r>
        <w:t>The table below summarizes respondent characteristics. Participant identities are kept confidential in accordance with the anonymous nature of the survey.</w:t>
      </w:r>
    </w:p>
    <w:tbl>
      <w:tblPr>
        <w:tblStyle w:val="TableGrid"/>
        <w:tblW w:w="0" w:type="auto"/>
        <w:jc w:val="center"/>
        <w:tblLook w:val="04A0" w:firstRow="1" w:lastRow="0" w:firstColumn="1" w:lastColumn="0" w:noHBand="0" w:noVBand="1"/>
      </w:tblPr>
      <w:tblGrid>
        <w:gridCol w:w="732"/>
        <w:gridCol w:w="2990"/>
        <w:gridCol w:w="2223"/>
        <w:gridCol w:w="2486"/>
        <w:gridCol w:w="913"/>
      </w:tblGrid>
      <w:tr w:rsidR="0008785D" w14:paraId="3EC9BDA5" w14:textId="77777777">
        <w:trPr>
          <w:jc w:val="center"/>
        </w:trPr>
        <w:tc>
          <w:tcPr>
            <w:tcW w:w="792" w:type="dxa"/>
            <w:tcBorders>
              <w:top w:val="single" w:sz="6" w:space="0" w:color="FFFFFF"/>
              <w:left w:val="single" w:sz="6" w:space="0" w:color="FFFFFF"/>
              <w:bottom w:val="single" w:sz="6" w:space="0" w:color="FFFFFF"/>
              <w:right w:val="single" w:sz="6" w:space="0" w:color="FFFFFF"/>
            </w:tcBorders>
            <w:shd w:val="clear" w:color="auto" w:fill="1F3E6E"/>
          </w:tcPr>
          <w:p w14:paraId="722A7417" w14:textId="77777777" w:rsidR="0008785D" w:rsidRDefault="00000000">
            <w:pPr>
              <w:jc w:val="center"/>
            </w:pPr>
            <w:r>
              <w:rPr>
                <w:b/>
                <w:color w:val="FFFFFF"/>
                <w:sz w:val="19"/>
              </w:rPr>
              <w:t>ID</w:t>
            </w:r>
          </w:p>
        </w:tc>
        <w:tc>
          <w:tcPr>
            <w:tcW w:w="3456" w:type="dxa"/>
            <w:tcBorders>
              <w:top w:val="single" w:sz="6" w:space="0" w:color="FFFFFF"/>
              <w:left w:val="single" w:sz="6" w:space="0" w:color="FFFFFF"/>
              <w:bottom w:val="single" w:sz="6" w:space="0" w:color="FFFFFF"/>
              <w:right w:val="single" w:sz="6" w:space="0" w:color="FFFFFF"/>
            </w:tcBorders>
            <w:shd w:val="clear" w:color="auto" w:fill="1F3E6E"/>
          </w:tcPr>
          <w:p w14:paraId="61B49CDA" w14:textId="77777777" w:rsidR="0008785D" w:rsidRDefault="00000000">
            <w:pPr>
              <w:jc w:val="center"/>
            </w:pPr>
            <w:r>
              <w:rPr>
                <w:b/>
                <w:color w:val="FFFFFF"/>
                <w:sz w:val="19"/>
              </w:rPr>
              <w:t>Role</w:t>
            </w:r>
          </w:p>
        </w:tc>
        <w:tc>
          <w:tcPr>
            <w:tcW w:w="2592" w:type="dxa"/>
            <w:tcBorders>
              <w:top w:val="single" w:sz="6" w:space="0" w:color="FFFFFF"/>
              <w:left w:val="single" w:sz="6" w:space="0" w:color="FFFFFF"/>
              <w:bottom w:val="single" w:sz="6" w:space="0" w:color="FFFFFF"/>
              <w:right w:val="single" w:sz="6" w:space="0" w:color="FFFFFF"/>
            </w:tcBorders>
            <w:shd w:val="clear" w:color="auto" w:fill="1F3E6E"/>
          </w:tcPr>
          <w:p w14:paraId="68F232D5" w14:textId="77777777" w:rsidR="0008785D" w:rsidRDefault="00000000">
            <w:pPr>
              <w:jc w:val="center"/>
            </w:pPr>
            <w:r>
              <w:rPr>
                <w:b/>
                <w:color w:val="FFFFFF"/>
                <w:sz w:val="19"/>
              </w:rPr>
              <w:t>Region</w:t>
            </w:r>
          </w:p>
        </w:tc>
        <w:tc>
          <w:tcPr>
            <w:tcW w:w="2880" w:type="dxa"/>
            <w:tcBorders>
              <w:top w:val="single" w:sz="6" w:space="0" w:color="FFFFFF"/>
              <w:left w:val="single" w:sz="6" w:space="0" w:color="FFFFFF"/>
              <w:bottom w:val="single" w:sz="6" w:space="0" w:color="FFFFFF"/>
              <w:right w:val="single" w:sz="6" w:space="0" w:color="FFFFFF"/>
            </w:tcBorders>
            <w:shd w:val="clear" w:color="auto" w:fill="1F3E6E"/>
          </w:tcPr>
          <w:p w14:paraId="2E94F4D7" w14:textId="77777777" w:rsidR="0008785D" w:rsidRDefault="00000000">
            <w:pPr>
              <w:jc w:val="center"/>
            </w:pPr>
            <w:r>
              <w:rPr>
                <w:b/>
                <w:color w:val="FFFFFF"/>
                <w:sz w:val="19"/>
              </w:rPr>
              <w:t>Education Level</w:t>
            </w:r>
          </w:p>
        </w:tc>
        <w:tc>
          <w:tcPr>
            <w:tcW w:w="936" w:type="dxa"/>
            <w:tcBorders>
              <w:top w:val="single" w:sz="6" w:space="0" w:color="FFFFFF"/>
              <w:left w:val="single" w:sz="6" w:space="0" w:color="FFFFFF"/>
              <w:bottom w:val="single" w:sz="6" w:space="0" w:color="FFFFFF"/>
              <w:right w:val="single" w:sz="6" w:space="0" w:color="FFFFFF"/>
            </w:tcBorders>
            <w:shd w:val="clear" w:color="auto" w:fill="1F3E6E"/>
          </w:tcPr>
          <w:p w14:paraId="23819F51" w14:textId="77777777" w:rsidR="0008785D" w:rsidRDefault="00000000">
            <w:pPr>
              <w:jc w:val="center"/>
            </w:pPr>
            <w:r>
              <w:rPr>
                <w:b/>
                <w:color w:val="FFFFFF"/>
                <w:sz w:val="19"/>
              </w:rPr>
              <w:t>Gender</w:t>
            </w:r>
          </w:p>
        </w:tc>
      </w:tr>
      <w:tr w:rsidR="0008785D" w14:paraId="793BC97A"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2F7FC"/>
          </w:tcPr>
          <w:p w14:paraId="5C7D26E6" w14:textId="77777777" w:rsidR="0008785D" w:rsidRDefault="00000000">
            <w:pPr>
              <w:jc w:val="center"/>
            </w:pPr>
            <w:r>
              <w:rPr>
                <w:sz w:val="19"/>
              </w:rPr>
              <w:t>R01</w:t>
            </w:r>
          </w:p>
        </w:tc>
        <w:tc>
          <w:tcPr>
            <w:tcW w:w="3456" w:type="dxa"/>
            <w:tcBorders>
              <w:top w:val="single" w:sz="4" w:space="0" w:color="CCCCCC"/>
              <w:left w:val="single" w:sz="4" w:space="0" w:color="CCCCCC"/>
              <w:bottom w:val="single" w:sz="4" w:space="0" w:color="CCCCCC"/>
              <w:right w:val="single" w:sz="4" w:space="0" w:color="CCCCCC"/>
            </w:tcBorders>
            <w:shd w:val="clear" w:color="auto" w:fill="F2F7FC"/>
          </w:tcPr>
          <w:p w14:paraId="484A3C17" w14:textId="77777777" w:rsidR="0008785D" w:rsidRDefault="00000000">
            <w:r>
              <w:rPr>
                <w:sz w:val="19"/>
              </w:rPr>
              <w:t>Instructional Facilitator / DEPR Supervisor</w:t>
            </w:r>
          </w:p>
        </w:tc>
        <w:tc>
          <w:tcPr>
            <w:tcW w:w="2592" w:type="dxa"/>
            <w:tcBorders>
              <w:top w:val="single" w:sz="4" w:space="0" w:color="CCCCCC"/>
              <w:left w:val="single" w:sz="4" w:space="0" w:color="CCCCCC"/>
              <w:bottom w:val="single" w:sz="4" w:space="0" w:color="CCCCCC"/>
              <w:right w:val="single" w:sz="4" w:space="0" w:color="CCCCCC"/>
            </w:tcBorders>
            <w:shd w:val="clear" w:color="auto" w:fill="F2F7FC"/>
          </w:tcPr>
          <w:p w14:paraId="62F025D4"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2F7FC"/>
          </w:tcPr>
          <w:p w14:paraId="31E8304D" w14:textId="77777777" w:rsidR="0008785D" w:rsidRDefault="00000000">
            <w:r>
              <w:rPr>
                <w:sz w:val="19"/>
              </w:rPr>
              <w:t>Doctorate</w:t>
            </w:r>
          </w:p>
        </w:tc>
        <w:tc>
          <w:tcPr>
            <w:tcW w:w="936" w:type="dxa"/>
            <w:tcBorders>
              <w:top w:val="single" w:sz="4" w:space="0" w:color="CCCCCC"/>
              <w:left w:val="single" w:sz="4" w:space="0" w:color="CCCCCC"/>
              <w:bottom w:val="single" w:sz="4" w:space="0" w:color="CCCCCC"/>
              <w:right w:val="single" w:sz="4" w:space="0" w:color="CCCCCC"/>
            </w:tcBorders>
            <w:shd w:val="clear" w:color="auto" w:fill="F2F7FC"/>
          </w:tcPr>
          <w:p w14:paraId="3391BE3C" w14:textId="77777777" w:rsidR="0008785D" w:rsidRDefault="00000000">
            <w:pPr>
              <w:jc w:val="center"/>
            </w:pPr>
            <w:r>
              <w:rPr>
                <w:sz w:val="19"/>
              </w:rPr>
              <w:t>Woman</w:t>
            </w:r>
          </w:p>
        </w:tc>
      </w:tr>
      <w:tr w:rsidR="0008785D" w14:paraId="62420AFB"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FFFFF"/>
          </w:tcPr>
          <w:p w14:paraId="05AD4AAE" w14:textId="77777777" w:rsidR="0008785D" w:rsidRDefault="00000000">
            <w:pPr>
              <w:jc w:val="center"/>
            </w:pPr>
            <w:r>
              <w:rPr>
                <w:sz w:val="19"/>
              </w:rPr>
              <w:t>R02</w:t>
            </w:r>
          </w:p>
        </w:tc>
        <w:tc>
          <w:tcPr>
            <w:tcW w:w="3456" w:type="dxa"/>
            <w:tcBorders>
              <w:top w:val="single" w:sz="4" w:space="0" w:color="CCCCCC"/>
              <w:left w:val="single" w:sz="4" w:space="0" w:color="CCCCCC"/>
              <w:bottom w:val="single" w:sz="4" w:space="0" w:color="CCCCCC"/>
              <w:right w:val="single" w:sz="4" w:space="0" w:color="CCCCCC"/>
            </w:tcBorders>
            <w:shd w:val="clear" w:color="auto" w:fill="FFFFFF"/>
          </w:tcPr>
          <w:p w14:paraId="6416A457" w14:textId="77777777" w:rsidR="0008785D" w:rsidRDefault="00000000">
            <w:r>
              <w:rPr>
                <w:sz w:val="19"/>
              </w:rPr>
              <w:t>Educational Supervisor</w:t>
            </w:r>
          </w:p>
        </w:tc>
        <w:tc>
          <w:tcPr>
            <w:tcW w:w="2592" w:type="dxa"/>
            <w:tcBorders>
              <w:top w:val="single" w:sz="4" w:space="0" w:color="CCCCCC"/>
              <w:left w:val="single" w:sz="4" w:space="0" w:color="CCCCCC"/>
              <w:bottom w:val="single" w:sz="4" w:space="0" w:color="CCCCCC"/>
              <w:right w:val="single" w:sz="4" w:space="0" w:color="CCCCCC"/>
            </w:tcBorders>
            <w:shd w:val="clear" w:color="auto" w:fill="FFFFFF"/>
          </w:tcPr>
          <w:p w14:paraId="53AB811C"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7584F166" w14:textId="77777777" w:rsidR="0008785D" w:rsidRDefault="00000000">
            <w:r>
              <w:rPr>
                <w:sz w:val="19"/>
              </w:rPr>
              <w:t>Master's Degree</w:t>
            </w:r>
          </w:p>
        </w:tc>
        <w:tc>
          <w:tcPr>
            <w:tcW w:w="936" w:type="dxa"/>
            <w:tcBorders>
              <w:top w:val="single" w:sz="4" w:space="0" w:color="CCCCCC"/>
              <w:left w:val="single" w:sz="4" w:space="0" w:color="CCCCCC"/>
              <w:bottom w:val="single" w:sz="4" w:space="0" w:color="CCCCCC"/>
              <w:right w:val="single" w:sz="4" w:space="0" w:color="CCCCCC"/>
            </w:tcBorders>
            <w:shd w:val="clear" w:color="auto" w:fill="FFFFFF"/>
          </w:tcPr>
          <w:p w14:paraId="082DDB48" w14:textId="77777777" w:rsidR="0008785D" w:rsidRDefault="00000000">
            <w:pPr>
              <w:jc w:val="center"/>
            </w:pPr>
            <w:r>
              <w:rPr>
                <w:sz w:val="19"/>
              </w:rPr>
              <w:t>Woman</w:t>
            </w:r>
          </w:p>
        </w:tc>
      </w:tr>
      <w:tr w:rsidR="0008785D" w14:paraId="02EB60AC"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2F7FC"/>
          </w:tcPr>
          <w:p w14:paraId="1AAC375F" w14:textId="77777777" w:rsidR="0008785D" w:rsidRDefault="00000000">
            <w:pPr>
              <w:jc w:val="center"/>
            </w:pPr>
            <w:r>
              <w:rPr>
                <w:sz w:val="19"/>
              </w:rPr>
              <w:t>R03</w:t>
            </w:r>
          </w:p>
        </w:tc>
        <w:tc>
          <w:tcPr>
            <w:tcW w:w="3456" w:type="dxa"/>
            <w:tcBorders>
              <w:top w:val="single" w:sz="4" w:space="0" w:color="CCCCCC"/>
              <w:left w:val="single" w:sz="4" w:space="0" w:color="CCCCCC"/>
              <w:bottom w:val="single" w:sz="4" w:space="0" w:color="CCCCCC"/>
              <w:right w:val="single" w:sz="4" w:space="0" w:color="CCCCCC"/>
            </w:tcBorders>
            <w:shd w:val="clear" w:color="auto" w:fill="F2F7FC"/>
          </w:tcPr>
          <w:p w14:paraId="5BD4F879" w14:textId="77777777" w:rsidR="0008785D" w:rsidRDefault="00000000">
            <w:r>
              <w:rPr>
                <w:sz w:val="19"/>
              </w:rPr>
              <w:t>School Administrator</w:t>
            </w:r>
          </w:p>
        </w:tc>
        <w:tc>
          <w:tcPr>
            <w:tcW w:w="2592" w:type="dxa"/>
            <w:tcBorders>
              <w:top w:val="single" w:sz="4" w:space="0" w:color="CCCCCC"/>
              <w:left w:val="single" w:sz="4" w:space="0" w:color="CCCCCC"/>
              <w:bottom w:val="single" w:sz="4" w:space="0" w:color="CCCCCC"/>
              <w:right w:val="single" w:sz="4" w:space="0" w:color="CCCCCC"/>
            </w:tcBorders>
            <w:shd w:val="clear" w:color="auto" w:fill="F2F7FC"/>
          </w:tcPr>
          <w:p w14:paraId="144D264E"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2F7FC"/>
          </w:tcPr>
          <w:p w14:paraId="6EC34AD6" w14:textId="77777777" w:rsidR="0008785D" w:rsidRDefault="00000000">
            <w:r>
              <w:rPr>
                <w:sz w:val="19"/>
              </w:rPr>
              <w:t>No immediate study plans</w:t>
            </w:r>
          </w:p>
        </w:tc>
        <w:tc>
          <w:tcPr>
            <w:tcW w:w="936" w:type="dxa"/>
            <w:tcBorders>
              <w:top w:val="single" w:sz="4" w:space="0" w:color="CCCCCC"/>
              <w:left w:val="single" w:sz="4" w:space="0" w:color="CCCCCC"/>
              <w:bottom w:val="single" w:sz="4" w:space="0" w:color="CCCCCC"/>
              <w:right w:val="single" w:sz="4" w:space="0" w:color="CCCCCC"/>
            </w:tcBorders>
            <w:shd w:val="clear" w:color="auto" w:fill="F2F7FC"/>
          </w:tcPr>
          <w:p w14:paraId="551ADF0A" w14:textId="77777777" w:rsidR="0008785D" w:rsidRDefault="00000000">
            <w:pPr>
              <w:jc w:val="center"/>
            </w:pPr>
            <w:r>
              <w:rPr>
                <w:sz w:val="19"/>
              </w:rPr>
              <w:t>Man</w:t>
            </w:r>
          </w:p>
        </w:tc>
      </w:tr>
      <w:tr w:rsidR="0008785D" w14:paraId="07DC96F7"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FFFFF"/>
          </w:tcPr>
          <w:p w14:paraId="1AE85864" w14:textId="77777777" w:rsidR="0008785D" w:rsidRDefault="00000000">
            <w:pPr>
              <w:jc w:val="center"/>
            </w:pPr>
            <w:r>
              <w:rPr>
                <w:sz w:val="19"/>
              </w:rPr>
              <w:t>R04</w:t>
            </w:r>
          </w:p>
        </w:tc>
        <w:tc>
          <w:tcPr>
            <w:tcW w:w="3456" w:type="dxa"/>
            <w:tcBorders>
              <w:top w:val="single" w:sz="4" w:space="0" w:color="CCCCCC"/>
              <w:left w:val="single" w:sz="4" w:space="0" w:color="CCCCCC"/>
              <w:bottom w:val="single" w:sz="4" w:space="0" w:color="CCCCCC"/>
              <w:right w:val="single" w:sz="4" w:space="0" w:color="CCCCCC"/>
            </w:tcBorders>
            <w:shd w:val="clear" w:color="auto" w:fill="FFFFFF"/>
          </w:tcPr>
          <w:p w14:paraId="5E93A6C1" w14:textId="77777777" w:rsidR="0008785D" w:rsidRDefault="00000000">
            <w:r>
              <w:rPr>
                <w:sz w:val="19"/>
              </w:rPr>
              <w:t>School Principal</w:t>
            </w:r>
          </w:p>
        </w:tc>
        <w:tc>
          <w:tcPr>
            <w:tcW w:w="2592" w:type="dxa"/>
            <w:tcBorders>
              <w:top w:val="single" w:sz="4" w:space="0" w:color="CCCCCC"/>
              <w:left w:val="single" w:sz="4" w:space="0" w:color="CCCCCC"/>
              <w:bottom w:val="single" w:sz="4" w:space="0" w:color="CCCCCC"/>
              <w:right w:val="single" w:sz="4" w:space="0" w:color="CCCCCC"/>
            </w:tcBorders>
            <w:shd w:val="clear" w:color="auto" w:fill="FFFFFF"/>
          </w:tcPr>
          <w:p w14:paraId="61713452"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4EF11171" w14:textId="77777777" w:rsidR="0008785D" w:rsidRDefault="00000000">
            <w:r>
              <w:rPr>
                <w:sz w:val="19"/>
              </w:rPr>
              <w:t>Master's Degree</w:t>
            </w:r>
          </w:p>
        </w:tc>
        <w:tc>
          <w:tcPr>
            <w:tcW w:w="936" w:type="dxa"/>
            <w:tcBorders>
              <w:top w:val="single" w:sz="4" w:space="0" w:color="CCCCCC"/>
              <w:left w:val="single" w:sz="4" w:space="0" w:color="CCCCCC"/>
              <w:bottom w:val="single" w:sz="4" w:space="0" w:color="CCCCCC"/>
              <w:right w:val="single" w:sz="4" w:space="0" w:color="CCCCCC"/>
            </w:tcBorders>
            <w:shd w:val="clear" w:color="auto" w:fill="FFFFFF"/>
          </w:tcPr>
          <w:p w14:paraId="11370C39" w14:textId="77777777" w:rsidR="0008785D" w:rsidRDefault="00000000">
            <w:pPr>
              <w:jc w:val="center"/>
            </w:pPr>
            <w:r>
              <w:rPr>
                <w:sz w:val="19"/>
              </w:rPr>
              <w:t>Woman</w:t>
            </w:r>
          </w:p>
        </w:tc>
      </w:tr>
      <w:tr w:rsidR="0008785D" w14:paraId="0F930046"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2F7FC"/>
          </w:tcPr>
          <w:p w14:paraId="3498344F" w14:textId="77777777" w:rsidR="0008785D" w:rsidRDefault="00000000">
            <w:pPr>
              <w:jc w:val="center"/>
            </w:pPr>
            <w:r>
              <w:rPr>
                <w:sz w:val="19"/>
              </w:rPr>
              <w:t>R05</w:t>
            </w:r>
          </w:p>
        </w:tc>
        <w:tc>
          <w:tcPr>
            <w:tcW w:w="3456" w:type="dxa"/>
            <w:tcBorders>
              <w:top w:val="single" w:sz="4" w:space="0" w:color="CCCCCC"/>
              <w:left w:val="single" w:sz="4" w:space="0" w:color="CCCCCC"/>
              <w:bottom w:val="single" w:sz="4" w:space="0" w:color="CCCCCC"/>
              <w:right w:val="single" w:sz="4" w:space="0" w:color="CCCCCC"/>
            </w:tcBorders>
            <w:shd w:val="clear" w:color="auto" w:fill="F2F7FC"/>
          </w:tcPr>
          <w:p w14:paraId="4E1B857A" w14:textId="77777777" w:rsidR="0008785D" w:rsidRDefault="00000000">
            <w:r>
              <w:rPr>
                <w:sz w:val="19"/>
              </w:rPr>
              <w:t>School Principal</w:t>
            </w:r>
          </w:p>
        </w:tc>
        <w:tc>
          <w:tcPr>
            <w:tcW w:w="2592" w:type="dxa"/>
            <w:tcBorders>
              <w:top w:val="single" w:sz="4" w:space="0" w:color="CCCCCC"/>
              <w:left w:val="single" w:sz="4" w:space="0" w:color="CCCCCC"/>
              <w:bottom w:val="single" w:sz="4" w:space="0" w:color="CCCCCC"/>
              <w:right w:val="single" w:sz="4" w:space="0" w:color="CCCCCC"/>
            </w:tcBorders>
            <w:shd w:val="clear" w:color="auto" w:fill="F2F7FC"/>
          </w:tcPr>
          <w:p w14:paraId="10DC7DCD"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2F7FC"/>
          </w:tcPr>
          <w:p w14:paraId="75D2EB33" w14:textId="77777777" w:rsidR="0008785D" w:rsidRDefault="00000000">
            <w:r>
              <w:rPr>
                <w:sz w:val="19"/>
              </w:rPr>
              <w:t>Doctorate</w:t>
            </w:r>
          </w:p>
        </w:tc>
        <w:tc>
          <w:tcPr>
            <w:tcW w:w="936" w:type="dxa"/>
            <w:tcBorders>
              <w:top w:val="single" w:sz="4" w:space="0" w:color="CCCCCC"/>
              <w:left w:val="single" w:sz="4" w:space="0" w:color="CCCCCC"/>
              <w:bottom w:val="single" w:sz="4" w:space="0" w:color="CCCCCC"/>
              <w:right w:val="single" w:sz="4" w:space="0" w:color="CCCCCC"/>
            </w:tcBorders>
            <w:shd w:val="clear" w:color="auto" w:fill="F2F7FC"/>
          </w:tcPr>
          <w:p w14:paraId="3795F98A" w14:textId="77777777" w:rsidR="0008785D" w:rsidRDefault="00000000">
            <w:pPr>
              <w:jc w:val="center"/>
            </w:pPr>
            <w:r>
              <w:rPr>
                <w:sz w:val="19"/>
              </w:rPr>
              <w:t>Woman</w:t>
            </w:r>
          </w:p>
        </w:tc>
      </w:tr>
      <w:tr w:rsidR="0008785D" w14:paraId="1FA6135C"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FFFFF"/>
          </w:tcPr>
          <w:p w14:paraId="157E2871" w14:textId="77777777" w:rsidR="0008785D" w:rsidRDefault="00000000">
            <w:pPr>
              <w:jc w:val="center"/>
            </w:pPr>
            <w:r>
              <w:rPr>
                <w:sz w:val="19"/>
              </w:rPr>
              <w:t>R06</w:t>
            </w:r>
          </w:p>
        </w:tc>
        <w:tc>
          <w:tcPr>
            <w:tcW w:w="3456" w:type="dxa"/>
            <w:tcBorders>
              <w:top w:val="single" w:sz="4" w:space="0" w:color="CCCCCC"/>
              <w:left w:val="single" w:sz="4" w:space="0" w:color="CCCCCC"/>
              <w:bottom w:val="single" w:sz="4" w:space="0" w:color="CCCCCC"/>
              <w:right w:val="single" w:sz="4" w:space="0" w:color="CCCCCC"/>
            </w:tcBorders>
            <w:shd w:val="clear" w:color="auto" w:fill="FFFFFF"/>
          </w:tcPr>
          <w:p w14:paraId="23E23492" w14:textId="77777777" w:rsidR="0008785D" w:rsidRDefault="00000000">
            <w:r>
              <w:rPr>
                <w:sz w:val="19"/>
              </w:rPr>
              <w:t>School Principal</w:t>
            </w:r>
          </w:p>
        </w:tc>
        <w:tc>
          <w:tcPr>
            <w:tcW w:w="2592" w:type="dxa"/>
            <w:tcBorders>
              <w:top w:val="single" w:sz="4" w:space="0" w:color="CCCCCC"/>
              <w:left w:val="single" w:sz="4" w:space="0" w:color="CCCCCC"/>
              <w:bottom w:val="single" w:sz="4" w:space="0" w:color="CCCCCC"/>
              <w:right w:val="single" w:sz="4" w:space="0" w:color="CCCCCC"/>
            </w:tcBorders>
            <w:shd w:val="clear" w:color="auto" w:fill="FFFFFF"/>
          </w:tcPr>
          <w:p w14:paraId="38077D63"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12620939" w14:textId="77777777" w:rsidR="0008785D" w:rsidRDefault="00000000">
            <w:r>
              <w:rPr>
                <w:sz w:val="19"/>
              </w:rPr>
              <w:t>Master's Degree</w:t>
            </w:r>
          </w:p>
        </w:tc>
        <w:tc>
          <w:tcPr>
            <w:tcW w:w="936" w:type="dxa"/>
            <w:tcBorders>
              <w:top w:val="single" w:sz="4" w:space="0" w:color="CCCCCC"/>
              <w:left w:val="single" w:sz="4" w:space="0" w:color="CCCCCC"/>
              <w:bottom w:val="single" w:sz="4" w:space="0" w:color="CCCCCC"/>
              <w:right w:val="single" w:sz="4" w:space="0" w:color="CCCCCC"/>
            </w:tcBorders>
            <w:shd w:val="clear" w:color="auto" w:fill="FFFFFF"/>
          </w:tcPr>
          <w:p w14:paraId="56088368" w14:textId="77777777" w:rsidR="0008785D" w:rsidRDefault="00000000">
            <w:pPr>
              <w:jc w:val="center"/>
            </w:pPr>
            <w:r>
              <w:rPr>
                <w:sz w:val="19"/>
              </w:rPr>
              <w:t>Woman</w:t>
            </w:r>
          </w:p>
        </w:tc>
      </w:tr>
      <w:tr w:rsidR="0008785D" w14:paraId="08CD7809"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2F7FC"/>
          </w:tcPr>
          <w:p w14:paraId="41417D73" w14:textId="77777777" w:rsidR="0008785D" w:rsidRDefault="00000000">
            <w:pPr>
              <w:jc w:val="center"/>
            </w:pPr>
            <w:r>
              <w:rPr>
                <w:sz w:val="19"/>
              </w:rPr>
              <w:t>R07</w:t>
            </w:r>
          </w:p>
        </w:tc>
        <w:tc>
          <w:tcPr>
            <w:tcW w:w="3456" w:type="dxa"/>
            <w:tcBorders>
              <w:top w:val="single" w:sz="4" w:space="0" w:color="CCCCCC"/>
              <w:left w:val="single" w:sz="4" w:space="0" w:color="CCCCCC"/>
              <w:bottom w:val="single" w:sz="4" w:space="0" w:color="CCCCCC"/>
              <w:right w:val="single" w:sz="4" w:space="0" w:color="CCCCCC"/>
            </w:tcBorders>
            <w:shd w:val="clear" w:color="auto" w:fill="F2F7FC"/>
          </w:tcPr>
          <w:p w14:paraId="08767421" w14:textId="77777777" w:rsidR="0008785D" w:rsidRDefault="00000000">
            <w:r>
              <w:rPr>
                <w:sz w:val="19"/>
              </w:rPr>
              <w:t>Educational Administrator</w:t>
            </w:r>
          </w:p>
        </w:tc>
        <w:tc>
          <w:tcPr>
            <w:tcW w:w="2592" w:type="dxa"/>
            <w:tcBorders>
              <w:top w:val="single" w:sz="4" w:space="0" w:color="CCCCCC"/>
              <w:left w:val="single" w:sz="4" w:space="0" w:color="CCCCCC"/>
              <w:bottom w:val="single" w:sz="4" w:space="0" w:color="CCCCCC"/>
              <w:right w:val="single" w:sz="4" w:space="0" w:color="CCCCCC"/>
            </w:tcBorders>
            <w:shd w:val="clear" w:color="auto" w:fill="F2F7FC"/>
          </w:tcPr>
          <w:p w14:paraId="4351D72D"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2F7FC"/>
          </w:tcPr>
          <w:p w14:paraId="35B8B43D" w14:textId="77777777" w:rsidR="0008785D" w:rsidRDefault="00000000">
            <w:r>
              <w:rPr>
                <w:sz w:val="19"/>
              </w:rPr>
              <w:t>Doctorate</w:t>
            </w:r>
          </w:p>
        </w:tc>
        <w:tc>
          <w:tcPr>
            <w:tcW w:w="936" w:type="dxa"/>
            <w:tcBorders>
              <w:top w:val="single" w:sz="4" w:space="0" w:color="CCCCCC"/>
              <w:left w:val="single" w:sz="4" w:space="0" w:color="CCCCCC"/>
              <w:bottom w:val="single" w:sz="4" w:space="0" w:color="CCCCCC"/>
              <w:right w:val="single" w:sz="4" w:space="0" w:color="CCCCCC"/>
            </w:tcBorders>
            <w:shd w:val="clear" w:color="auto" w:fill="F2F7FC"/>
          </w:tcPr>
          <w:p w14:paraId="09E7484D" w14:textId="77777777" w:rsidR="0008785D" w:rsidRDefault="00000000">
            <w:pPr>
              <w:jc w:val="center"/>
            </w:pPr>
            <w:r>
              <w:rPr>
                <w:sz w:val="19"/>
              </w:rPr>
              <w:t>Woman</w:t>
            </w:r>
          </w:p>
        </w:tc>
      </w:tr>
      <w:tr w:rsidR="0008785D" w14:paraId="7F2886C7"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FFFFF"/>
          </w:tcPr>
          <w:p w14:paraId="4D829E60" w14:textId="77777777" w:rsidR="0008785D" w:rsidRDefault="00000000">
            <w:pPr>
              <w:jc w:val="center"/>
            </w:pPr>
            <w:r>
              <w:rPr>
                <w:sz w:val="19"/>
              </w:rPr>
              <w:t>R08</w:t>
            </w:r>
          </w:p>
        </w:tc>
        <w:tc>
          <w:tcPr>
            <w:tcW w:w="3456" w:type="dxa"/>
            <w:tcBorders>
              <w:top w:val="single" w:sz="4" w:space="0" w:color="CCCCCC"/>
              <w:left w:val="single" w:sz="4" w:space="0" w:color="CCCCCC"/>
              <w:bottom w:val="single" w:sz="4" w:space="0" w:color="CCCCCC"/>
              <w:right w:val="single" w:sz="4" w:space="0" w:color="CCCCCC"/>
            </w:tcBorders>
            <w:shd w:val="clear" w:color="auto" w:fill="FFFFFF"/>
          </w:tcPr>
          <w:p w14:paraId="2702B00E" w14:textId="77777777" w:rsidR="0008785D" w:rsidRDefault="00000000">
            <w:r>
              <w:rPr>
                <w:sz w:val="19"/>
              </w:rPr>
              <w:t>School Administrator</w:t>
            </w:r>
          </w:p>
        </w:tc>
        <w:tc>
          <w:tcPr>
            <w:tcW w:w="2592" w:type="dxa"/>
            <w:tcBorders>
              <w:top w:val="single" w:sz="4" w:space="0" w:color="CCCCCC"/>
              <w:left w:val="single" w:sz="4" w:space="0" w:color="CCCCCC"/>
              <w:bottom w:val="single" w:sz="4" w:space="0" w:color="CCCCCC"/>
              <w:right w:val="single" w:sz="4" w:space="0" w:color="CCCCCC"/>
            </w:tcBorders>
            <w:shd w:val="clear" w:color="auto" w:fill="FFFFFF"/>
          </w:tcPr>
          <w:p w14:paraId="2D28C122" w14:textId="77777777" w:rsidR="0008785D" w:rsidRDefault="00000000">
            <w:r>
              <w:rPr>
                <w:sz w:val="19"/>
              </w:rPr>
              <w:t>North-Central Region</w:t>
            </w:r>
          </w:p>
        </w:tc>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0F860A19" w14:textId="77777777" w:rsidR="0008785D" w:rsidRDefault="00000000">
            <w:r>
              <w:rPr>
                <w:sz w:val="19"/>
              </w:rPr>
              <w:t>Second Bachelor's Degree</w:t>
            </w:r>
          </w:p>
        </w:tc>
        <w:tc>
          <w:tcPr>
            <w:tcW w:w="936" w:type="dxa"/>
            <w:tcBorders>
              <w:top w:val="single" w:sz="4" w:space="0" w:color="CCCCCC"/>
              <w:left w:val="single" w:sz="4" w:space="0" w:color="CCCCCC"/>
              <w:bottom w:val="single" w:sz="4" w:space="0" w:color="CCCCCC"/>
              <w:right w:val="single" w:sz="4" w:space="0" w:color="CCCCCC"/>
            </w:tcBorders>
            <w:shd w:val="clear" w:color="auto" w:fill="FFFFFF"/>
          </w:tcPr>
          <w:p w14:paraId="243E2545" w14:textId="77777777" w:rsidR="0008785D" w:rsidRDefault="00000000">
            <w:pPr>
              <w:jc w:val="center"/>
            </w:pPr>
            <w:r>
              <w:rPr>
                <w:sz w:val="19"/>
              </w:rPr>
              <w:t>Woman</w:t>
            </w:r>
          </w:p>
        </w:tc>
      </w:tr>
      <w:tr w:rsidR="0008785D" w14:paraId="0C879FFE"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2F7FC"/>
          </w:tcPr>
          <w:p w14:paraId="50C781C5" w14:textId="77777777" w:rsidR="0008785D" w:rsidRDefault="00000000">
            <w:pPr>
              <w:jc w:val="center"/>
            </w:pPr>
            <w:r>
              <w:rPr>
                <w:sz w:val="19"/>
              </w:rPr>
              <w:t>R09</w:t>
            </w:r>
          </w:p>
        </w:tc>
        <w:tc>
          <w:tcPr>
            <w:tcW w:w="3456" w:type="dxa"/>
            <w:tcBorders>
              <w:top w:val="single" w:sz="4" w:space="0" w:color="CCCCCC"/>
              <w:left w:val="single" w:sz="4" w:space="0" w:color="CCCCCC"/>
              <w:bottom w:val="single" w:sz="4" w:space="0" w:color="CCCCCC"/>
              <w:right w:val="single" w:sz="4" w:space="0" w:color="CCCCCC"/>
            </w:tcBorders>
            <w:shd w:val="clear" w:color="auto" w:fill="F2F7FC"/>
          </w:tcPr>
          <w:p w14:paraId="10CA379D" w14:textId="77777777" w:rsidR="0008785D" w:rsidRDefault="00000000">
            <w:r>
              <w:rPr>
                <w:sz w:val="19"/>
              </w:rPr>
              <w:t>School Principal</w:t>
            </w:r>
          </w:p>
        </w:tc>
        <w:tc>
          <w:tcPr>
            <w:tcW w:w="2592" w:type="dxa"/>
            <w:tcBorders>
              <w:top w:val="single" w:sz="4" w:space="0" w:color="CCCCCC"/>
              <w:left w:val="single" w:sz="4" w:space="0" w:color="CCCCCC"/>
              <w:bottom w:val="single" w:sz="4" w:space="0" w:color="CCCCCC"/>
              <w:right w:val="single" w:sz="4" w:space="0" w:color="CCCCCC"/>
            </w:tcBorders>
            <w:shd w:val="clear" w:color="auto" w:fill="F2F7FC"/>
          </w:tcPr>
          <w:p w14:paraId="38C43BBB"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2F7FC"/>
          </w:tcPr>
          <w:p w14:paraId="5B344987" w14:textId="77777777" w:rsidR="0008785D" w:rsidRDefault="00000000">
            <w:r>
              <w:rPr>
                <w:sz w:val="19"/>
              </w:rPr>
              <w:t>Master's Degree</w:t>
            </w:r>
          </w:p>
        </w:tc>
        <w:tc>
          <w:tcPr>
            <w:tcW w:w="936" w:type="dxa"/>
            <w:tcBorders>
              <w:top w:val="single" w:sz="4" w:space="0" w:color="CCCCCC"/>
              <w:left w:val="single" w:sz="4" w:space="0" w:color="CCCCCC"/>
              <w:bottom w:val="single" w:sz="4" w:space="0" w:color="CCCCCC"/>
              <w:right w:val="single" w:sz="4" w:space="0" w:color="CCCCCC"/>
            </w:tcBorders>
            <w:shd w:val="clear" w:color="auto" w:fill="F2F7FC"/>
          </w:tcPr>
          <w:p w14:paraId="7FF59CA7" w14:textId="77777777" w:rsidR="0008785D" w:rsidRDefault="00000000">
            <w:pPr>
              <w:jc w:val="center"/>
            </w:pPr>
            <w:r>
              <w:rPr>
                <w:sz w:val="19"/>
              </w:rPr>
              <w:t>Man</w:t>
            </w:r>
          </w:p>
        </w:tc>
      </w:tr>
      <w:tr w:rsidR="0008785D" w14:paraId="683CCC01"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FFFFF"/>
          </w:tcPr>
          <w:p w14:paraId="4A118759" w14:textId="77777777" w:rsidR="0008785D" w:rsidRDefault="00000000">
            <w:pPr>
              <w:jc w:val="center"/>
            </w:pPr>
            <w:r>
              <w:rPr>
                <w:sz w:val="19"/>
              </w:rPr>
              <w:t>R10</w:t>
            </w:r>
          </w:p>
        </w:tc>
        <w:tc>
          <w:tcPr>
            <w:tcW w:w="3456" w:type="dxa"/>
            <w:tcBorders>
              <w:top w:val="single" w:sz="4" w:space="0" w:color="CCCCCC"/>
              <w:left w:val="single" w:sz="4" w:space="0" w:color="CCCCCC"/>
              <w:bottom w:val="single" w:sz="4" w:space="0" w:color="CCCCCC"/>
              <w:right w:val="single" w:sz="4" w:space="0" w:color="CCCCCC"/>
            </w:tcBorders>
            <w:shd w:val="clear" w:color="auto" w:fill="FFFFFF"/>
          </w:tcPr>
          <w:p w14:paraId="1D824464" w14:textId="77777777" w:rsidR="0008785D" w:rsidRDefault="00000000">
            <w:r>
              <w:rPr>
                <w:sz w:val="19"/>
              </w:rPr>
              <w:t>School Principal</w:t>
            </w:r>
          </w:p>
        </w:tc>
        <w:tc>
          <w:tcPr>
            <w:tcW w:w="2592" w:type="dxa"/>
            <w:tcBorders>
              <w:top w:val="single" w:sz="4" w:space="0" w:color="CCCCCC"/>
              <w:left w:val="single" w:sz="4" w:space="0" w:color="CCCCCC"/>
              <w:bottom w:val="single" w:sz="4" w:space="0" w:color="CCCCCC"/>
              <w:right w:val="single" w:sz="4" w:space="0" w:color="CCCCCC"/>
            </w:tcBorders>
            <w:shd w:val="clear" w:color="auto" w:fill="FFFFFF"/>
          </w:tcPr>
          <w:p w14:paraId="298668C0"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FFFFF"/>
          </w:tcPr>
          <w:p w14:paraId="246D5EF9" w14:textId="77777777" w:rsidR="0008785D" w:rsidRDefault="00000000">
            <w:r>
              <w:rPr>
                <w:sz w:val="19"/>
              </w:rPr>
              <w:t>Doctorate</w:t>
            </w:r>
          </w:p>
        </w:tc>
        <w:tc>
          <w:tcPr>
            <w:tcW w:w="936" w:type="dxa"/>
            <w:tcBorders>
              <w:top w:val="single" w:sz="4" w:space="0" w:color="CCCCCC"/>
              <w:left w:val="single" w:sz="4" w:space="0" w:color="CCCCCC"/>
              <w:bottom w:val="single" w:sz="4" w:space="0" w:color="CCCCCC"/>
              <w:right w:val="single" w:sz="4" w:space="0" w:color="CCCCCC"/>
            </w:tcBorders>
            <w:shd w:val="clear" w:color="auto" w:fill="FFFFFF"/>
          </w:tcPr>
          <w:p w14:paraId="12E14C67" w14:textId="77777777" w:rsidR="0008785D" w:rsidRDefault="00000000">
            <w:pPr>
              <w:jc w:val="center"/>
            </w:pPr>
            <w:r>
              <w:rPr>
                <w:sz w:val="19"/>
              </w:rPr>
              <w:t>Man</w:t>
            </w:r>
          </w:p>
        </w:tc>
      </w:tr>
      <w:tr w:rsidR="0008785D" w14:paraId="010417B8" w14:textId="77777777">
        <w:trPr>
          <w:jc w:val="center"/>
        </w:trPr>
        <w:tc>
          <w:tcPr>
            <w:tcW w:w="792" w:type="dxa"/>
            <w:tcBorders>
              <w:top w:val="single" w:sz="4" w:space="0" w:color="CCCCCC"/>
              <w:left w:val="single" w:sz="4" w:space="0" w:color="CCCCCC"/>
              <w:bottom w:val="single" w:sz="4" w:space="0" w:color="CCCCCC"/>
              <w:right w:val="single" w:sz="4" w:space="0" w:color="CCCCCC"/>
            </w:tcBorders>
            <w:shd w:val="clear" w:color="auto" w:fill="F2F7FC"/>
          </w:tcPr>
          <w:p w14:paraId="7F6B323A" w14:textId="77777777" w:rsidR="0008785D" w:rsidRDefault="00000000">
            <w:pPr>
              <w:jc w:val="center"/>
            </w:pPr>
            <w:r>
              <w:rPr>
                <w:sz w:val="19"/>
              </w:rPr>
              <w:t>R11</w:t>
            </w:r>
          </w:p>
        </w:tc>
        <w:tc>
          <w:tcPr>
            <w:tcW w:w="3456" w:type="dxa"/>
            <w:tcBorders>
              <w:top w:val="single" w:sz="4" w:space="0" w:color="CCCCCC"/>
              <w:left w:val="single" w:sz="4" w:space="0" w:color="CCCCCC"/>
              <w:bottom w:val="single" w:sz="4" w:space="0" w:color="CCCCCC"/>
              <w:right w:val="single" w:sz="4" w:space="0" w:color="CCCCCC"/>
            </w:tcBorders>
            <w:shd w:val="clear" w:color="auto" w:fill="F2F7FC"/>
          </w:tcPr>
          <w:p w14:paraId="4E72E28A" w14:textId="77777777" w:rsidR="0008785D" w:rsidRDefault="00000000">
            <w:r>
              <w:rPr>
                <w:sz w:val="19"/>
              </w:rPr>
              <w:t>School Principal</w:t>
            </w:r>
          </w:p>
        </w:tc>
        <w:tc>
          <w:tcPr>
            <w:tcW w:w="2592" w:type="dxa"/>
            <w:tcBorders>
              <w:top w:val="single" w:sz="4" w:space="0" w:color="CCCCCC"/>
              <w:left w:val="single" w:sz="4" w:space="0" w:color="CCCCCC"/>
              <w:bottom w:val="single" w:sz="4" w:space="0" w:color="CCCCCC"/>
              <w:right w:val="single" w:sz="4" w:space="0" w:color="CCCCCC"/>
            </w:tcBorders>
            <w:shd w:val="clear" w:color="auto" w:fill="F2F7FC"/>
          </w:tcPr>
          <w:p w14:paraId="2869B18F" w14:textId="77777777" w:rsidR="0008785D" w:rsidRDefault="00000000">
            <w:r>
              <w:rPr>
                <w:sz w:val="19"/>
              </w:rPr>
              <w:t>Western Region</w:t>
            </w:r>
          </w:p>
        </w:tc>
        <w:tc>
          <w:tcPr>
            <w:tcW w:w="2880" w:type="dxa"/>
            <w:tcBorders>
              <w:top w:val="single" w:sz="4" w:space="0" w:color="CCCCCC"/>
              <w:left w:val="single" w:sz="4" w:space="0" w:color="CCCCCC"/>
              <w:bottom w:val="single" w:sz="4" w:space="0" w:color="CCCCCC"/>
              <w:right w:val="single" w:sz="4" w:space="0" w:color="CCCCCC"/>
            </w:tcBorders>
            <w:shd w:val="clear" w:color="auto" w:fill="F2F7FC"/>
          </w:tcPr>
          <w:p w14:paraId="79CD843A" w14:textId="77777777" w:rsidR="0008785D" w:rsidRDefault="00000000">
            <w:r>
              <w:rPr>
                <w:sz w:val="19"/>
              </w:rPr>
              <w:t>Master's Degree</w:t>
            </w:r>
          </w:p>
        </w:tc>
        <w:tc>
          <w:tcPr>
            <w:tcW w:w="936" w:type="dxa"/>
            <w:tcBorders>
              <w:top w:val="single" w:sz="4" w:space="0" w:color="CCCCCC"/>
              <w:left w:val="single" w:sz="4" w:space="0" w:color="CCCCCC"/>
              <w:bottom w:val="single" w:sz="4" w:space="0" w:color="CCCCCC"/>
              <w:right w:val="single" w:sz="4" w:space="0" w:color="CCCCCC"/>
            </w:tcBorders>
            <w:shd w:val="clear" w:color="auto" w:fill="F2F7FC"/>
          </w:tcPr>
          <w:p w14:paraId="5C5697A2" w14:textId="77777777" w:rsidR="0008785D" w:rsidRDefault="00000000">
            <w:pPr>
              <w:jc w:val="center"/>
            </w:pPr>
            <w:r>
              <w:rPr>
                <w:sz w:val="19"/>
              </w:rPr>
              <w:t>Woman</w:t>
            </w:r>
          </w:p>
        </w:tc>
      </w:tr>
    </w:tbl>
    <w:p w14:paraId="150E969C" w14:textId="77777777" w:rsidR="0008785D" w:rsidRDefault="0008785D"/>
    <w:p w14:paraId="6BB48AF4" w14:textId="77777777" w:rsidR="0008785D" w:rsidRDefault="00000000">
      <w:pPr>
        <w:pStyle w:val="Heading2"/>
      </w:pPr>
      <w:r>
        <w:rPr>
          <w:rFonts w:ascii="Calibri" w:hAnsi="Calibri"/>
        </w:rPr>
        <w:t>Demographic Summary</w:t>
      </w:r>
    </w:p>
    <w:tbl>
      <w:tblPr>
        <w:tblStyle w:val="TableGrid"/>
        <w:tblW w:w="0" w:type="auto"/>
        <w:jc w:val="center"/>
        <w:tblLook w:val="04A0" w:firstRow="1" w:lastRow="0" w:firstColumn="1" w:lastColumn="0" w:noHBand="0" w:noVBand="1"/>
      </w:tblPr>
      <w:tblGrid>
        <w:gridCol w:w="5760"/>
        <w:gridCol w:w="1152"/>
      </w:tblGrid>
      <w:tr w:rsidR="0008785D" w14:paraId="22CFA108" w14:textId="77777777">
        <w:trPr>
          <w:jc w:val="center"/>
        </w:trPr>
        <w:tc>
          <w:tcPr>
            <w:tcW w:w="5760" w:type="dxa"/>
            <w:tcBorders>
              <w:top w:val="single" w:sz="6" w:space="0" w:color="FFFFFF"/>
              <w:left w:val="single" w:sz="6" w:space="0" w:color="FFFFFF"/>
              <w:bottom w:val="single" w:sz="6" w:space="0" w:color="FFFFFF"/>
              <w:right w:val="single" w:sz="6" w:space="0" w:color="FFFFFF"/>
            </w:tcBorders>
            <w:shd w:val="clear" w:color="auto" w:fill="1F3E6E"/>
          </w:tcPr>
          <w:p w14:paraId="0843A566" w14:textId="77777777" w:rsidR="0008785D" w:rsidRDefault="00000000">
            <w:pPr>
              <w:jc w:val="center"/>
            </w:pPr>
            <w:r>
              <w:rPr>
                <w:b/>
                <w:color w:val="FFFFFF"/>
                <w:sz w:val="19"/>
              </w:rPr>
              <w:t>Characteristic</w:t>
            </w:r>
          </w:p>
        </w:tc>
        <w:tc>
          <w:tcPr>
            <w:tcW w:w="1152" w:type="dxa"/>
            <w:tcBorders>
              <w:top w:val="single" w:sz="6" w:space="0" w:color="FFFFFF"/>
              <w:left w:val="single" w:sz="6" w:space="0" w:color="FFFFFF"/>
              <w:bottom w:val="single" w:sz="6" w:space="0" w:color="FFFFFF"/>
              <w:right w:val="single" w:sz="6" w:space="0" w:color="FFFFFF"/>
            </w:tcBorders>
            <w:shd w:val="clear" w:color="auto" w:fill="1F3E6E"/>
          </w:tcPr>
          <w:p w14:paraId="262CE165" w14:textId="77777777" w:rsidR="0008785D" w:rsidRDefault="00000000">
            <w:pPr>
              <w:jc w:val="center"/>
            </w:pPr>
            <w:r>
              <w:rPr>
                <w:b/>
                <w:color w:val="FFFFFF"/>
                <w:sz w:val="19"/>
              </w:rPr>
              <w:t>N</w:t>
            </w:r>
          </w:p>
        </w:tc>
      </w:tr>
      <w:tr w:rsidR="0008785D" w14:paraId="61CBA8F3"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2F7FC"/>
          </w:tcPr>
          <w:p w14:paraId="1261725F" w14:textId="77777777" w:rsidR="0008785D" w:rsidRDefault="00000000">
            <w:r>
              <w:rPr>
                <w:sz w:val="20"/>
              </w:rPr>
              <w:t>Gender: Women</w:t>
            </w:r>
          </w:p>
        </w:tc>
        <w:tc>
          <w:tcPr>
            <w:tcW w:w="1152" w:type="dxa"/>
            <w:tcBorders>
              <w:top w:val="single" w:sz="4" w:space="0" w:color="CCCCCC"/>
              <w:left w:val="single" w:sz="4" w:space="0" w:color="CCCCCC"/>
              <w:bottom w:val="single" w:sz="4" w:space="0" w:color="CCCCCC"/>
              <w:right w:val="single" w:sz="4" w:space="0" w:color="CCCCCC"/>
            </w:tcBorders>
            <w:shd w:val="clear" w:color="auto" w:fill="F2F7FC"/>
          </w:tcPr>
          <w:p w14:paraId="3F6D5E69" w14:textId="77777777" w:rsidR="0008785D" w:rsidRDefault="00000000">
            <w:pPr>
              <w:jc w:val="center"/>
            </w:pPr>
            <w:r>
              <w:rPr>
                <w:sz w:val="20"/>
              </w:rPr>
              <w:t>9</w:t>
            </w:r>
          </w:p>
        </w:tc>
      </w:tr>
      <w:tr w:rsidR="0008785D" w14:paraId="65013404"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FFFFF"/>
          </w:tcPr>
          <w:p w14:paraId="5D1D6511" w14:textId="77777777" w:rsidR="0008785D" w:rsidRDefault="00000000">
            <w:r>
              <w:rPr>
                <w:sz w:val="20"/>
              </w:rPr>
              <w:t>Gender: Men</w:t>
            </w:r>
          </w:p>
        </w:tc>
        <w:tc>
          <w:tcPr>
            <w:tcW w:w="1152" w:type="dxa"/>
            <w:tcBorders>
              <w:top w:val="single" w:sz="4" w:space="0" w:color="CCCCCC"/>
              <w:left w:val="single" w:sz="4" w:space="0" w:color="CCCCCC"/>
              <w:bottom w:val="single" w:sz="4" w:space="0" w:color="CCCCCC"/>
              <w:right w:val="single" w:sz="4" w:space="0" w:color="CCCCCC"/>
            </w:tcBorders>
            <w:shd w:val="clear" w:color="auto" w:fill="FFFFFF"/>
          </w:tcPr>
          <w:p w14:paraId="4BBB2181" w14:textId="77777777" w:rsidR="0008785D" w:rsidRDefault="00000000">
            <w:pPr>
              <w:jc w:val="center"/>
            </w:pPr>
            <w:r>
              <w:rPr>
                <w:sz w:val="20"/>
              </w:rPr>
              <w:t>2</w:t>
            </w:r>
          </w:p>
        </w:tc>
      </w:tr>
      <w:tr w:rsidR="0008785D" w14:paraId="1CCA7CA0"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2F7FC"/>
          </w:tcPr>
          <w:p w14:paraId="7A357BB4" w14:textId="77777777" w:rsidR="0008785D" w:rsidRDefault="00000000">
            <w:r>
              <w:rPr>
                <w:sz w:val="20"/>
              </w:rPr>
              <w:t>Role: School Principal</w:t>
            </w:r>
          </w:p>
        </w:tc>
        <w:tc>
          <w:tcPr>
            <w:tcW w:w="1152" w:type="dxa"/>
            <w:tcBorders>
              <w:top w:val="single" w:sz="4" w:space="0" w:color="CCCCCC"/>
              <w:left w:val="single" w:sz="4" w:space="0" w:color="CCCCCC"/>
              <w:bottom w:val="single" w:sz="4" w:space="0" w:color="CCCCCC"/>
              <w:right w:val="single" w:sz="4" w:space="0" w:color="CCCCCC"/>
            </w:tcBorders>
            <w:shd w:val="clear" w:color="auto" w:fill="F2F7FC"/>
          </w:tcPr>
          <w:p w14:paraId="70D7AB10" w14:textId="77777777" w:rsidR="0008785D" w:rsidRDefault="00000000">
            <w:pPr>
              <w:jc w:val="center"/>
            </w:pPr>
            <w:r>
              <w:rPr>
                <w:sz w:val="20"/>
              </w:rPr>
              <w:t>7</w:t>
            </w:r>
          </w:p>
        </w:tc>
      </w:tr>
      <w:tr w:rsidR="0008785D" w14:paraId="6D3C47DB"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FFFFF"/>
          </w:tcPr>
          <w:p w14:paraId="1F1BCAB0" w14:textId="77777777" w:rsidR="0008785D" w:rsidRDefault="00000000">
            <w:r>
              <w:rPr>
                <w:sz w:val="20"/>
              </w:rPr>
              <w:t>Role: Educational Supervisor / Administrator</w:t>
            </w:r>
          </w:p>
        </w:tc>
        <w:tc>
          <w:tcPr>
            <w:tcW w:w="1152" w:type="dxa"/>
            <w:tcBorders>
              <w:top w:val="single" w:sz="4" w:space="0" w:color="CCCCCC"/>
              <w:left w:val="single" w:sz="4" w:space="0" w:color="CCCCCC"/>
              <w:bottom w:val="single" w:sz="4" w:space="0" w:color="CCCCCC"/>
              <w:right w:val="single" w:sz="4" w:space="0" w:color="CCCCCC"/>
            </w:tcBorders>
            <w:shd w:val="clear" w:color="auto" w:fill="FFFFFF"/>
          </w:tcPr>
          <w:p w14:paraId="083B7D22" w14:textId="77777777" w:rsidR="0008785D" w:rsidRDefault="00000000">
            <w:pPr>
              <w:jc w:val="center"/>
            </w:pPr>
            <w:r>
              <w:rPr>
                <w:sz w:val="20"/>
              </w:rPr>
              <w:t>4</w:t>
            </w:r>
          </w:p>
        </w:tc>
      </w:tr>
      <w:tr w:rsidR="0008785D" w14:paraId="4213773E"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2F7FC"/>
          </w:tcPr>
          <w:p w14:paraId="3C9D99D7" w14:textId="77777777" w:rsidR="0008785D" w:rsidRDefault="00000000">
            <w:r>
              <w:rPr>
                <w:sz w:val="20"/>
              </w:rPr>
              <w:t>Education: Doctorate</w:t>
            </w:r>
          </w:p>
        </w:tc>
        <w:tc>
          <w:tcPr>
            <w:tcW w:w="1152" w:type="dxa"/>
            <w:tcBorders>
              <w:top w:val="single" w:sz="4" w:space="0" w:color="CCCCCC"/>
              <w:left w:val="single" w:sz="4" w:space="0" w:color="CCCCCC"/>
              <w:bottom w:val="single" w:sz="4" w:space="0" w:color="CCCCCC"/>
              <w:right w:val="single" w:sz="4" w:space="0" w:color="CCCCCC"/>
            </w:tcBorders>
            <w:shd w:val="clear" w:color="auto" w:fill="F2F7FC"/>
          </w:tcPr>
          <w:p w14:paraId="05239B8F" w14:textId="77777777" w:rsidR="0008785D" w:rsidRDefault="00000000">
            <w:pPr>
              <w:jc w:val="center"/>
            </w:pPr>
            <w:r>
              <w:rPr>
                <w:sz w:val="20"/>
              </w:rPr>
              <w:t>4</w:t>
            </w:r>
          </w:p>
        </w:tc>
      </w:tr>
      <w:tr w:rsidR="0008785D" w14:paraId="425B182E"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FFFFF"/>
          </w:tcPr>
          <w:p w14:paraId="7FD26B7F" w14:textId="77777777" w:rsidR="0008785D" w:rsidRDefault="00000000">
            <w:r>
              <w:rPr>
                <w:sz w:val="20"/>
              </w:rPr>
              <w:t>Education: Master's Degree</w:t>
            </w:r>
          </w:p>
        </w:tc>
        <w:tc>
          <w:tcPr>
            <w:tcW w:w="1152" w:type="dxa"/>
            <w:tcBorders>
              <w:top w:val="single" w:sz="4" w:space="0" w:color="CCCCCC"/>
              <w:left w:val="single" w:sz="4" w:space="0" w:color="CCCCCC"/>
              <w:bottom w:val="single" w:sz="4" w:space="0" w:color="CCCCCC"/>
              <w:right w:val="single" w:sz="4" w:space="0" w:color="CCCCCC"/>
            </w:tcBorders>
            <w:shd w:val="clear" w:color="auto" w:fill="FFFFFF"/>
          </w:tcPr>
          <w:p w14:paraId="4672EF82" w14:textId="77777777" w:rsidR="0008785D" w:rsidRDefault="00000000">
            <w:pPr>
              <w:jc w:val="center"/>
            </w:pPr>
            <w:r>
              <w:rPr>
                <w:sz w:val="20"/>
              </w:rPr>
              <w:t>5</w:t>
            </w:r>
          </w:p>
        </w:tc>
      </w:tr>
      <w:tr w:rsidR="0008785D" w14:paraId="7012E0F1"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2F7FC"/>
          </w:tcPr>
          <w:p w14:paraId="3BBB8144" w14:textId="77777777" w:rsidR="0008785D" w:rsidRDefault="00000000">
            <w:r>
              <w:rPr>
                <w:sz w:val="20"/>
              </w:rPr>
              <w:t>Education: Second Bachelor's Degree</w:t>
            </w:r>
          </w:p>
        </w:tc>
        <w:tc>
          <w:tcPr>
            <w:tcW w:w="1152" w:type="dxa"/>
            <w:tcBorders>
              <w:top w:val="single" w:sz="4" w:space="0" w:color="CCCCCC"/>
              <w:left w:val="single" w:sz="4" w:space="0" w:color="CCCCCC"/>
              <w:bottom w:val="single" w:sz="4" w:space="0" w:color="CCCCCC"/>
              <w:right w:val="single" w:sz="4" w:space="0" w:color="CCCCCC"/>
            </w:tcBorders>
            <w:shd w:val="clear" w:color="auto" w:fill="F2F7FC"/>
          </w:tcPr>
          <w:p w14:paraId="235ADE67" w14:textId="77777777" w:rsidR="0008785D" w:rsidRDefault="00000000">
            <w:pPr>
              <w:jc w:val="center"/>
            </w:pPr>
            <w:r>
              <w:rPr>
                <w:sz w:val="20"/>
              </w:rPr>
              <w:t>1</w:t>
            </w:r>
          </w:p>
        </w:tc>
      </w:tr>
      <w:tr w:rsidR="0008785D" w14:paraId="26F08109"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FFFFF"/>
          </w:tcPr>
          <w:p w14:paraId="1F4C815A" w14:textId="77777777" w:rsidR="0008785D" w:rsidRDefault="00000000">
            <w:r>
              <w:rPr>
                <w:sz w:val="20"/>
              </w:rPr>
              <w:t>Education: No immediate study plans</w:t>
            </w:r>
          </w:p>
        </w:tc>
        <w:tc>
          <w:tcPr>
            <w:tcW w:w="1152" w:type="dxa"/>
            <w:tcBorders>
              <w:top w:val="single" w:sz="4" w:space="0" w:color="CCCCCC"/>
              <w:left w:val="single" w:sz="4" w:space="0" w:color="CCCCCC"/>
              <w:bottom w:val="single" w:sz="4" w:space="0" w:color="CCCCCC"/>
              <w:right w:val="single" w:sz="4" w:space="0" w:color="CCCCCC"/>
            </w:tcBorders>
            <w:shd w:val="clear" w:color="auto" w:fill="FFFFFF"/>
          </w:tcPr>
          <w:p w14:paraId="550B20A7" w14:textId="77777777" w:rsidR="0008785D" w:rsidRDefault="00000000">
            <w:pPr>
              <w:jc w:val="center"/>
            </w:pPr>
            <w:r>
              <w:rPr>
                <w:sz w:val="20"/>
              </w:rPr>
              <w:t>1</w:t>
            </w:r>
          </w:p>
        </w:tc>
      </w:tr>
      <w:tr w:rsidR="0008785D" w14:paraId="17817F90"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2F7FC"/>
          </w:tcPr>
          <w:p w14:paraId="7392EBFE" w14:textId="77777777" w:rsidR="0008785D" w:rsidRDefault="00000000">
            <w:r>
              <w:rPr>
                <w:sz w:val="20"/>
              </w:rPr>
              <w:t>Region: Western Puerto Rico</w:t>
            </w:r>
          </w:p>
        </w:tc>
        <w:tc>
          <w:tcPr>
            <w:tcW w:w="1152" w:type="dxa"/>
            <w:tcBorders>
              <w:top w:val="single" w:sz="4" w:space="0" w:color="CCCCCC"/>
              <w:left w:val="single" w:sz="4" w:space="0" w:color="CCCCCC"/>
              <w:bottom w:val="single" w:sz="4" w:space="0" w:color="CCCCCC"/>
              <w:right w:val="single" w:sz="4" w:space="0" w:color="CCCCCC"/>
            </w:tcBorders>
            <w:shd w:val="clear" w:color="auto" w:fill="F2F7FC"/>
          </w:tcPr>
          <w:p w14:paraId="6674522D" w14:textId="77777777" w:rsidR="0008785D" w:rsidRDefault="00000000">
            <w:pPr>
              <w:jc w:val="center"/>
            </w:pPr>
            <w:r>
              <w:rPr>
                <w:sz w:val="20"/>
              </w:rPr>
              <w:t>10</w:t>
            </w:r>
          </w:p>
        </w:tc>
      </w:tr>
      <w:tr w:rsidR="0008785D" w14:paraId="1AD47606" w14:textId="77777777">
        <w:trPr>
          <w:jc w:val="center"/>
        </w:trPr>
        <w:tc>
          <w:tcPr>
            <w:tcW w:w="5760" w:type="dxa"/>
            <w:tcBorders>
              <w:top w:val="single" w:sz="4" w:space="0" w:color="CCCCCC"/>
              <w:left w:val="single" w:sz="4" w:space="0" w:color="CCCCCC"/>
              <w:bottom w:val="single" w:sz="4" w:space="0" w:color="CCCCCC"/>
              <w:right w:val="single" w:sz="4" w:space="0" w:color="CCCCCC"/>
            </w:tcBorders>
            <w:shd w:val="clear" w:color="auto" w:fill="FFFFFF"/>
          </w:tcPr>
          <w:p w14:paraId="5E076A69" w14:textId="77777777" w:rsidR="0008785D" w:rsidRPr="00CD241B" w:rsidRDefault="00000000">
            <w:pPr>
              <w:rPr>
                <w:lang w:val="es-ES"/>
              </w:rPr>
            </w:pPr>
            <w:proofErr w:type="spellStart"/>
            <w:r w:rsidRPr="00CD241B">
              <w:rPr>
                <w:sz w:val="20"/>
                <w:lang w:val="es-ES"/>
              </w:rPr>
              <w:t>Region</w:t>
            </w:r>
            <w:proofErr w:type="spellEnd"/>
            <w:r w:rsidRPr="00CD241B">
              <w:rPr>
                <w:sz w:val="20"/>
                <w:lang w:val="es-ES"/>
              </w:rPr>
              <w:t>: North-Central Puerto Rico</w:t>
            </w:r>
          </w:p>
        </w:tc>
        <w:tc>
          <w:tcPr>
            <w:tcW w:w="1152" w:type="dxa"/>
            <w:tcBorders>
              <w:top w:val="single" w:sz="4" w:space="0" w:color="CCCCCC"/>
              <w:left w:val="single" w:sz="4" w:space="0" w:color="CCCCCC"/>
              <w:bottom w:val="single" w:sz="4" w:space="0" w:color="CCCCCC"/>
              <w:right w:val="single" w:sz="4" w:space="0" w:color="CCCCCC"/>
            </w:tcBorders>
            <w:shd w:val="clear" w:color="auto" w:fill="FFFFFF"/>
          </w:tcPr>
          <w:p w14:paraId="5D8A39B3" w14:textId="77777777" w:rsidR="0008785D" w:rsidRDefault="00000000">
            <w:pPr>
              <w:jc w:val="center"/>
            </w:pPr>
            <w:r>
              <w:rPr>
                <w:sz w:val="20"/>
              </w:rPr>
              <w:t>1</w:t>
            </w:r>
          </w:p>
        </w:tc>
      </w:tr>
    </w:tbl>
    <w:p w14:paraId="63C09088" w14:textId="77777777" w:rsidR="0008785D" w:rsidRDefault="00000000">
      <w:r>
        <w:br w:type="page"/>
      </w:r>
    </w:p>
    <w:p w14:paraId="6D758EC4" w14:textId="77777777" w:rsidR="0008785D" w:rsidRDefault="00000000">
      <w:pPr>
        <w:pStyle w:val="Heading1"/>
      </w:pPr>
      <w:r>
        <w:rPr>
          <w:rFonts w:ascii="Calibri" w:hAnsi="Calibri"/>
        </w:rPr>
        <w:lastRenderedPageBreak/>
        <w:t>4. Quantitative Findings</w:t>
      </w:r>
    </w:p>
    <w:p w14:paraId="51F2DB7B" w14:textId="77777777" w:rsidR="0008785D" w:rsidRDefault="0008785D">
      <w:pPr>
        <w:pBdr>
          <w:bottom w:val="single" w:sz="12" w:space="0" w:color="1F3E6E"/>
        </w:pBdr>
        <w:spacing w:after="120"/>
      </w:pPr>
    </w:p>
    <w:p w14:paraId="6CDAD546" w14:textId="77777777" w:rsidR="0008785D" w:rsidRDefault="00000000">
      <w:pPr>
        <w:spacing w:after="160"/>
      </w:pPr>
      <w:r>
        <w:t>Respondents rated program completers on 23 competency indicators using a 4-point Likert scale. Results are presented at both the domain level and the individual item level. Scores are interpreted as: ≥ 3.50 = Exceeds Expectations; 3.00–3.49 = Meets Expectations; 2.50–2.99 = Developing; &lt; 2.50 = Does Not Meet Expectations.</w:t>
      </w:r>
    </w:p>
    <w:p w14:paraId="2234C53C" w14:textId="77777777" w:rsidR="0008785D" w:rsidRDefault="00000000">
      <w:pPr>
        <w:pStyle w:val="Heading2"/>
      </w:pPr>
      <w:r>
        <w:rPr>
          <w:rFonts w:ascii="Calibri" w:hAnsi="Calibri"/>
        </w:rPr>
        <w:t>4.1 Domain-Level Results (n = 11)</w:t>
      </w:r>
    </w:p>
    <w:p w14:paraId="5D7F4A5D" w14:textId="77777777" w:rsidR="0008785D" w:rsidRDefault="00000000">
      <w:pPr>
        <w:spacing w:after="120"/>
      </w:pPr>
      <w:r>
        <w:t>Mean ratings by performance domain, sorted from highest to lowest.</w:t>
      </w:r>
    </w:p>
    <w:tbl>
      <w:tblPr>
        <w:tblStyle w:val="TableGrid"/>
        <w:tblW w:w="0" w:type="auto"/>
        <w:jc w:val="center"/>
        <w:tblLook w:val="04A0" w:firstRow="1" w:lastRow="0" w:firstColumn="1" w:lastColumn="0" w:noHBand="0" w:noVBand="1"/>
      </w:tblPr>
      <w:tblGrid>
        <w:gridCol w:w="4149"/>
        <w:gridCol w:w="1575"/>
        <w:gridCol w:w="1844"/>
        <w:gridCol w:w="1776"/>
      </w:tblGrid>
      <w:tr w:rsidR="0008785D" w14:paraId="2BD65B99" w14:textId="77777777">
        <w:trPr>
          <w:jc w:val="center"/>
        </w:trPr>
        <w:tc>
          <w:tcPr>
            <w:tcW w:w="5616" w:type="dxa"/>
            <w:tcBorders>
              <w:top w:val="single" w:sz="6" w:space="0" w:color="FFFFFF"/>
              <w:left w:val="single" w:sz="6" w:space="0" w:color="FFFFFF"/>
              <w:bottom w:val="single" w:sz="6" w:space="0" w:color="FFFFFF"/>
              <w:right w:val="single" w:sz="6" w:space="0" w:color="FFFFFF"/>
            </w:tcBorders>
            <w:shd w:val="clear" w:color="auto" w:fill="1F3E6E"/>
          </w:tcPr>
          <w:p w14:paraId="7754BB22" w14:textId="77777777" w:rsidR="0008785D" w:rsidRDefault="00000000">
            <w:pPr>
              <w:jc w:val="center"/>
            </w:pPr>
            <w:r>
              <w:rPr>
                <w:b/>
                <w:color w:val="FFFFFF"/>
                <w:sz w:val="19"/>
              </w:rPr>
              <w:t>Performance Domain</w:t>
            </w:r>
          </w:p>
        </w:tc>
        <w:tc>
          <w:tcPr>
            <w:tcW w:w="2016" w:type="dxa"/>
            <w:tcBorders>
              <w:top w:val="single" w:sz="6" w:space="0" w:color="FFFFFF"/>
              <w:left w:val="single" w:sz="6" w:space="0" w:color="FFFFFF"/>
              <w:bottom w:val="single" w:sz="6" w:space="0" w:color="FFFFFF"/>
              <w:right w:val="single" w:sz="6" w:space="0" w:color="FFFFFF"/>
            </w:tcBorders>
            <w:shd w:val="clear" w:color="auto" w:fill="1F3E6E"/>
          </w:tcPr>
          <w:p w14:paraId="089BF008" w14:textId="77777777" w:rsidR="0008785D" w:rsidRDefault="00000000">
            <w:pPr>
              <w:jc w:val="center"/>
            </w:pPr>
            <w:r>
              <w:rPr>
                <w:b/>
                <w:color w:val="FFFFFF"/>
                <w:sz w:val="19"/>
              </w:rPr>
              <w:t>Mean (n=11)</w:t>
            </w:r>
          </w:p>
        </w:tc>
        <w:tc>
          <w:tcPr>
            <w:tcW w:w="2160" w:type="dxa"/>
            <w:tcBorders>
              <w:top w:val="single" w:sz="6" w:space="0" w:color="FFFFFF"/>
              <w:left w:val="single" w:sz="6" w:space="0" w:color="FFFFFF"/>
              <w:bottom w:val="single" w:sz="6" w:space="0" w:color="FFFFFF"/>
              <w:right w:val="single" w:sz="6" w:space="0" w:color="FFFFFF"/>
            </w:tcBorders>
            <w:shd w:val="clear" w:color="auto" w:fill="1F3E6E"/>
          </w:tcPr>
          <w:p w14:paraId="61540CF0" w14:textId="77777777" w:rsidR="0008785D" w:rsidRDefault="00000000">
            <w:pPr>
              <w:jc w:val="center"/>
            </w:pPr>
            <w:r>
              <w:rPr>
                <w:b/>
                <w:color w:val="FFFFFF"/>
                <w:sz w:val="19"/>
              </w:rPr>
              <w:t>Performance Level</w:t>
            </w:r>
          </w:p>
        </w:tc>
        <w:tc>
          <w:tcPr>
            <w:tcW w:w="2160" w:type="dxa"/>
            <w:tcBorders>
              <w:top w:val="single" w:sz="6" w:space="0" w:color="FFFFFF"/>
              <w:left w:val="single" w:sz="6" w:space="0" w:color="FFFFFF"/>
              <w:bottom w:val="single" w:sz="6" w:space="0" w:color="FFFFFF"/>
              <w:right w:val="single" w:sz="6" w:space="0" w:color="FFFFFF"/>
            </w:tcBorders>
            <w:shd w:val="clear" w:color="auto" w:fill="1F3E6E"/>
          </w:tcPr>
          <w:p w14:paraId="70814F91" w14:textId="77777777" w:rsidR="0008785D" w:rsidRDefault="00000000">
            <w:pPr>
              <w:jc w:val="center"/>
            </w:pPr>
            <w:r>
              <w:rPr>
                <w:b/>
                <w:color w:val="FFFFFF"/>
                <w:sz w:val="19"/>
              </w:rPr>
              <w:t>CAEP Alignment</w:t>
            </w:r>
          </w:p>
        </w:tc>
      </w:tr>
      <w:tr w:rsidR="0008785D" w14:paraId="40A7FC81"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2F7FC"/>
          </w:tcPr>
          <w:p w14:paraId="5984C20A" w14:textId="77777777" w:rsidR="0008785D" w:rsidRDefault="00000000">
            <w:r>
              <w:rPr>
                <w:b/>
                <w:sz w:val="19"/>
              </w:rPr>
              <w:t>Learning Environment</w:t>
            </w:r>
          </w:p>
        </w:tc>
        <w:tc>
          <w:tcPr>
            <w:tcW w:w="2016" w:type="dxa"/>
            <w:tcBorders>
              <w:top w:val="single" w:sz="4" w:space="0" w:color="CCCCCC"/>
              <w:left w:val="single" w:sz="4" w:space="0" w:color="CCCCCC"/>
              <w:bottom w:val="single" w:sz="4" w:space="0" w:color="CCCCCC"/>
              <w:right w:val="single" w:sz="4" w:space="0" w:color="CCCCCC"/>
            </w:tcBorders>
            <w:shd w:val="clear" w:color="auto" w:fill="F2F7FC"/>
          </w:tcPr>
          <w:p w14:paraId="5514E215" w14:textId="77777777" w:rsidR="0008785D" w:rsidRDefault="00000000">
            <w:pPr>
              <w:jc w:val="center"/>
            </w:pPr>
            <w:r>
              <w:rPr>
                <w:b/>
                <w:color w:val="70AD47"/>
                <w:sz w:val="20"/>
              </w:rPr>
              <w:t>3.55</w:t>
            </w:r>
          </w:p>
        </w:tc>
        <w:tc>
          <w:tcPr>
            <w:tcW w:w="2160" w:type="dxa"/>
            <w:tcBorders>
              <w:top w:val="single" w:sz="4" w:space="0" w:color="CCCCCC"/>
              <w:left w:val="single" w:sz="4" w:space="0" w:color="CCCCCC"/>
              <w:bottom w:val="single" w:sz="4" w:space="0" w:color="CCCCCC"/>
              <w:right w:val="single" w:sz="4" w:space="0" w:color="CCCCCC"/>
            </w:tcBorders>
            <w:shd w:val="clear" w:color="auto" w:fill="70AD47"/>
          </w:tcPr>
          <w:p w14:paraId="1D32216A" w14:textId="77777777" w:rsidR="0008785D" w:rsidRDefault="00000000">
            <w:pPr>
              <w:jc w:val="center"/>
            </w:pPr>
            <w:r>
              <w:rPr>
                <w:b/>
                <w:color w:val="FFFFFF"/>
                <w:sz w:val="19"/>
              </w:rPr>
              <w:t>Exceeds</w:t>
            </w:r>
          </w:p>
        </w:tc>
        <w:tc>
          <w:tcPr>
            <w:tcW w:w="2160" w:type="dxa"/>
            <w:tcBorders>
              <w:top w:val="single" w:sz="4" w:space="0" w:color="CCCCCC"/>
              <w:left w:val="single" w:sz="4" w:space="0" w:color="CCCCCC"/>
              <w:bottom w:val="single" w:sz="4" w:space="0" w:color="CCCCCC"/>
              <w:right w:val="single" w:sz="4" w:space="0" w:color="CCCCCC"/>
            </w:tcBorders>
            <w:shd w:val="clear" w:color="auto" w:fill="F2F7FC"/>
          </w:tcPr>
          <w:p w14:paraId="2738948F" w14:textId="77777777" w:rsidR="0008785D" w:rsidRDefault="00000000">
            <w:pPr>
              <w:jc w:val="center"/>
            </w:pPr>
            <w:r>
              <w:rPr>
                <w:sz w:val="18"/>
              </w:rPr>
              <w:t>Std. 1 / InTASC 3</w:t>
            </w:r>
          </w:p>
        </w:tc>
      </w:tr>
      <w:tr w:rsidR="0008785D" w14:paraId="3D65E62D"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FFFFF"/>
          </w:tcPr>
          <w:p w14:paraId="078EB071" w14:textId="77777777" w:rsidR="0008785D" w:rsidRDefault="00000000">
            <w:r>
              <w:rPr>
                <w:b/>
                <w:sz w:val="19"/>
              </w:rPr>
              <w:t>The Learner and Learning</w:t>
            </w:r>
          </w:p>
        </w:tc>
        <w:tc>
          <w:tcPr>
            <w:tcW w:w="2016" w:type="dxa"/>
            <w:tcBorders>
              <w:top w:val="single" w:sz="4" w:space="0" w:color="CCCCCC"/>
              <w:left w:val="single" w:sz="4" w:space="0" w:color="CCCCCC"/>
              <w:bottom w:val="single" w:sz="4" w:space="0" w:color="CCCCCC"/>
              <w:right w:val="single" w:sz="4" w:space="0" w:color="CCCCCC"/>
            </w:tcBorders>
            <w:shd w:val="clear" w:color="auto" w:fill="FFFFFF"/>
          </w:tcPr>
          <w:p w14:paraId="08138EC9" w14:textId="77777777" w:rsidR="0008785D" w:rsidRDefault="00000000">
            <w:pPr>
              <w:jc w:val="center"/>
            </w:pPr>
            <w:r>
              <w:rPr>
                <w:b/>
                <w:color w:val="FFC000"/>
                <w:sz w:val="20"/>
              </w:rPr>
              <w:t>3.43</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71595D2E"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FFFFF"/>
          </w:tcPr>
          <w:p w14:paraId="0C589557" w14:textId="77777777" w:rsidR="0008785D" w:rsidRDefault="00000000">
            <w:pPr>
              <w:jc w:val="center"/>
            </w:pPr>
            <w:r>
              <w:rPr>
                <w:sz w:val="18"/>
              </w:rPr>
              <w:t>Std. 1 / InTASC 1–3</w:t>
            </w:r>
          </w:p>
        </w:tc>
      </w:tr>
      <w:tr w:rsidR="0008785D" w14:paraId="562C3457"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2F7FC"/>
          </w:tcPr>
          <w:p w14:paraId="093C0F56" w14:textId="77777777" w:rsidR="0008785D" w:rsidRDefault="00000000">
            <w:r>
              <w:rPr>
                <w:b/>
                <w:sz w:val="19"/>
              </w:rPr>
              <w:t>Leadership and School Culture</w:t>
            </w:r>
          </w:p>
        </w:tc>
        <w:tc>
          <w:tcPr>
            <w:tcW w:w="2016" w:type="dxa"/>
            <w:tcBorders>
              <w:top w:val="single" w:sz="4" w:space="0" w:color="CCCCCC"/>
              <w:left w:val="single" w:sz="4" w:space="0" w:color="CCCCCC"/>
              <w:bottom w:val="single" w:sz="4" w:space="0" w:color="CCCCCC"/>
              <w:right w:val="single" w:sz="4" w:space="0" w:color="CCCCCC"/>
            </w:tcBorders>
            <w:shd w:val="clear" w:color="auto" w:fill="F2F7FC"/>
          </w:tcPr>
          <w:p w14:paraId="6025188D" w14:textId="77777777" w:rsidR="0008785D" w:rsidRDefault="00000000">
            <w:pPr>
              <w:jc w:val="center"/>
            </w:pPr>
            <w:r>
              <w:rPr>
                <w:b/>
                <w:color w:val="FFC000"/>
                <w:sz w:val="20"/>
              </w:rPr>
              <w:t>3.37</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0A2BCFEA"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2F7FC"/>
          </w:tcPr>
          <w:p w14:paraId="4DD3ECB2" w14:textId="77777777" w:rsidR="0008785D" w:rsidRDefault="00000000">
            <w:pPr>
              <w:jc w:val="center"/>
            </w:pPr>
            <w:r>
              <w:rPr>
                <w:sz w:val="18"/>
              </w:rPr>
              <w:t>Std. 4</w:t>
            </w:r>
          </w:p>
        </w:tc>
      </w:tr>
      <w:tr w:rsidR="0008785D" w14:paraId="265ADD1D"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FFFFF"/>
          </w:tcPr>
          <w:p w14:paraId="78E0D8F9" w14:textId="77777777" w:rsidR="0008785D" w:rsidRDefault="00000000">
            <w:r>
              <w:rPr>
                <w:b/>
                <w:sz w:val="19"/>
              </w:rPr>
              <w:t>Professional Responsibility and Ethics</w:t>
            </w:r>
          </w:p>
        </w:tc>
        <w:tc>
          <w:tcPr>
            <w:tcW w:w="2016" w:type="dxa"/>
            <w:tcBorders>
              <w:top w:val="single" w:sz="4" w:space="0" w:color="CCCCCC"/>
              <w:left w:val="single" w:sz="4" w:space="0" w:color="CCCCCC"/>
              <w:bottom w:val="single" w:sz="4" w:space="0" w:color="CCCCCC"/>
              <w:right w:val="single" w:sz="4" w:space="0" w:color="CCCCCC"/>
            </w:tcBorders>
            <w:shd w:val="clear" w:color="auto" w:fill="FFFFFF"/>
          </w:tcPr>
          <w:p w14:paraId="64F0D3D2" w14:textId="77777777" w:rsidR="0008785D" w:rsidRDefault="00000000">
            <w:pPr>
              <w:jc w:val="center"/>
            </w:pPr>
            <w:r>
              <w:rPr>
                <w:b/>
                <w:color w:val="FFC000"/>
                <w:sz w:val="20"/>
              </w:rPr>
              <w:t>3.36</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05FB19CD"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FFFFF"/>
          </w:tcPr>
          <w:p w14:paraId="0D198047" w14:textId="77777777" w:rsidR="0008785D" w:rsidRDefault="00000000">
            <w:pPr>
              <w:jc w:val="center"/>
            </w:pPr>
            <w:r>
              <w:rPr>
                <w:sz w:val="18"/>
              </w:rPr>
              <w:t>Std. 1 / InTASC 9</w:t>
            </w:r>
          </w:p>
        </w:tc>
      </w:tr>
      <w:tr w:rsidR="0008785D" w14:paraId="7A9A4E95"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2F7FC"/>
          </w:tcPr>
          <w:p w14:paraId="06E179A8" w14:textId="77777777" w:rsidR="0008785D" w:rsidRDefault="00000000">
            <w:r>
              <w:rPr>
                <w:b/>
                <w:sz w:val="19"/>
              </w:rPr>
              <w:t>Professional Learning and Reflection</w:t>
            </w:r>
          </w:p>
        </w:tc>
        <w:tc>
          <w:tcPr>
            <w:tcW w:w="2016" w:type="dxa"/>
            <w:tcBorders>
              <w:top w:val="single" w:sz="4" w:space="0" w:color="CCCCCC"/>
              <w:left w:val="single" w:sz="4" w:space="0" w:color="CCCCCC"/>
              <w:bottom w:val="single" w:sz="4" w:space="0" w:color="CCCCCC"/>
              <w:right w:val="single" w:sz="4" w:space="0" w:color="CCCCCC"/>
            </w:tcBorders>
            <w:shd w:val="clear" w:color="auto" w:fill="F2F7FC"/>
          </w:tcPr>
          <w:p w14:paraId="1304C686" w14:textId="77777777" w:rsidR="0008785D" w:rsidRDefault="00000000">
            <w:pPr>
              <w:jc w:val="center"/>
            </w:pPr>
            <w:r>
              <w:rPr>
                <w:b/>
                <w:color w:val="FFC000"/>
                <w:sz w:val="20"/>
              </w:rPr>
              <w:t>3.30</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3940C7C4"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2F7FC"/>
          </w:tcPr>
          <w:p w14:paraId="053C6FD1" w14:textId="77777777" w:rsidR="0008785D" w:rsidRDefault="00000000">
            <w:pPr>
              <w:jc w:val="center"/>
            </w:pPr>
            <w:r>
              <w:rPr>
                <w:sz w:val="18"/>
              </w:rPr>
              <w:t>Std. 1 / InTASC 9</w:t>
            </w:r>
          </w:p>
        </w:tc>
      </w:tr>
      <w:tr w:rsidR="0008785D" w14:paraId="6B2583D1"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FFFFF"/>
          </w:tcPr>
          <w:p w14:paraId="0CC5AA09" w14:textId="77777777" w:rsidR="0008785D" w:rsidRDefault="00000000">
            <w:r>
              <w:rPr>
                <w:b/>
                <w:sz w:val="19"/>
              </w:rPr>
              <w:t>Content Knowledge</w:t>
            </w:r>
          </w:p>
        </w:tc>
        <w:tc>
          <w:tcPr>
            <w:tcW w:w="2016" w:type="dxa"/>
            <w:tcBorders>
              <w:top w:val="single" w:sz="4" w:space="0" w:color="CCCCCC"/>
              <w:left w:val="single" w:sz="4" w:space="0" w:color="CCCCCC"/>
              <w:bottom w:val="single" w:sz="4" w:space="0" w:color="CCCCCC"/>
              <w:right w:val="single" w:sz="4" w:space="0" w:color="CCCCCC"/>
            </w:tcBorders>
            <w:shd w:val="clear" w:color="auto" w:fill="FFFFFF"/>
          </w:tcPr>
          <w:p w14:paraId="1618D125" w14:textId="77777777" w:rsidR="0008785D" w:rsidRDefault="00000000">
            <w:pPr>
              <w:jc w:val="center"/>
            </w:pPr>
            <w:r>
              <w:rPr>
                <w:b/>
                <w:color w:val="FFC000"/>
                <w:sz w:val="20"/>
              </w:rPr>
              <w:t>3.27</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511C42EB"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FFFFF"/>
          </w:tcPr>
          <w:p w14:paraId="44402057" w14:textId="77777777" w:rsidR="0008785D" w:rsidRDefault="00000000">
            <w:pPr>
              <w:jc w:val="center"/>
            </w:pPr>
            <w:r>
              <w:rPr>
                <w:sz w:val="18"/>
              </w:rPr>
              <w:t>Std. 1 / InTASC 4–5</w:t>
            </w:r>
          </w:p>
        </w:tc>
      </w:tr>
      <w:tr w:rsidR="0008785D" w14:paraId="5265FC5A"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2F7FC"/>
          </w:tcPr>
          <w:p w14:paraId="193EDD71" w14:textId="77777777" w:rsidR="0008785D" w:rsidRDefault="00000000">
            <w:r>
              <w:rPr>
                <w:b/>
                <w:sz w:val="19"/>
              </w:rPr>
              <w:t>Assessment</w:t>
            </w:r>
          </w:p>
        </w:tc>
        <w:tc>
          <w:tcPr>
            <w:tcW w:w="2016" w:type="dxa"/>
            <w:tcBorders>
              <w:top w:val="single" w:sz="4" w:space="0" w:color="CCCCCC"/>
              <w:left w:val="single" w:sz="4" w:space="0" w:color="CCCCCC"/>
              <w:bottom w:val="single" w:sz="4" w:space="0" w:color="CCCCCC"/>
              <w:right w:val="single" w:sz="4" w:space="0" w:color="CCCCCC"/>
            </w:tcBorders>
            <w:shd w:val="clear" w:color="auto" w:fill="F2F7FC"/>
          </w:tcPr>
          <w:p w14:paraId="1BC1FCEA" w14:textId="77777777" w:rsidR="0008785D" w:rsidRDefault="00000000">
            <w:pPr>
              <w:jc w:val="center"/>
            </w:pPr>
            <w:r>
              <w:rPr>
                <w:b/>
                <w:color w:val="FFC000"/>
                <w:sz w:val="20"/>
              </w:rPr>
              <w:t>3.27</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7C104DB5"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2F7FC"/>
          </w:tcPr>
          <w:p w14:paraId="18821B82" w14:textId="77777777" w:rsidR="0008785D" w:rsidRDefault="00000000">
            <w:pPr>
              <w:jc w:val="center"/>
            </w:pPr>
            <w:r>
              <w:rPr>
                <w:sz w:val="18"/>
              </w:rPr>
              <w:t>Std. 1 / InTASC 6</w:t>
            </w:r>
          </w:p>
        </w:tc>
      </w:tr>
      <w:tr w:rsidR="0008785D" w14:paraId="193F5068"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FFFFF"/>
          </w:tcPr>
          <w:p w14:paraId="2D8EF664" w14:textId="77777777" w:rsidR="0008785D" w:rsidRDefault="00000000">
            <w:r>
              <w:rPr>
                <w:b/>
                <w:sz w:val="19"/>
              </w:rPr>
              <w:t>Diversity, Equity, and Inclusion</w:t>
            </w:r>
          </w:p>
        </w:tc>
        <w:tc>
          <w:tcPr>
            <w:tcW w:w="2016" w:type="dxa"/>
            <w:tcBorders>
              <w:top w:val="single" w:sz="4" w:space="0" w:color="CCCCCC"/>
              <w:left w:val="single" w:sz="4" w:space="0" w:color="CCCCCC"/>
              <w:bottom w:val="single" w:sz="4" w:space="0" w:color="CCCCCC"/>
              <w:right w:val="single" w:sz="4" w:space="0" w:color="CCCCCC"/>
            </w:tcBorders>
            <w:shd w:val="clear" w:color="auto" w:fill="FFFFFF"/>
          </w:tcPr>
          <w:p w14:paraId="608F312B" w14:textId="77777777" w:rsidR="0008785D" w:rsidRDefault="00000000">
            <w:pPr>
              <w:jc w:val="center"/>
            </w:pPr>
            <w:r>
              <w:rPr>
                <w:b/>
                <w:color w:val="FFC000"/>
                <w:sz w:val="20"/>
              </w:rPr>
              <w:t>3.27</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705E2C77"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FFFFF"/>
          </w:tcPr>
          <w:p w14:paraId="67DCB602" w14:textId="77777777" w:rsidR="0008785D" w:rsidRDefault="00000000">
            <w:pPr>
              <w:jc w:val="center"/>
            </w:pPr>
            <w:r>
              <w:rPr>
                <w:sz w:val="18"/>
              </w:rPr>
              <w:t>Std. 1 / InTASC 2</w:t>
            </w:r>
          </w:p>
        </w:tc>
      </w:tr>
      <w:tr w:rsidR="0008785D" w14:paraId="4DF43676"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2F7FC"/>
          </w:tcPr>
          <w:p w14:paraId="2CFC6BEA" w14:textId="77777777" w:rsidR="0008785D" w:rsidRDefault="00000000">
            <w:r>
              <w:rPr>
                <w:b/>
                <w:sz w:val="19"/>
              </w:rPr>
              <w:t>Collaboration</w:t>
            </w:r>
          </w:p>
        </w:tc>
        <w:tc>
          <w:tcPr>
            <w:tcW w:w="2016" w:type="dxa"/>
            <w:tcBorders>
              <w:top w:val="single" w:sz="4" w:space="0" w:color="CCCCCC"/>
              <w:left w:val="single" w:sz="4" w:space="0" w:color="CCCCCC"/>
              <w:bottom w:val="single" w:sz="4" w:space="0" w:color="CCCCCC"/>
              <w:right w:val="single" w:sz="4" w:space="0" w:color="CCCCCC"/>
            </w:tcBorders>
            <w:shd w:val="clear" w:color="auto" w:fill="F2F7FC"/>
          </w:tcPr>
          <w:p w14:paraId="6AC4CA72" w14:textId="77777777" w:rsidR="0008785D" w:rsidRDefault="00000000">
            <w:pPr>
              <w:jc w:val="center"/>
            </w:pPr>
            <w:r>
              <w:rPr>
                <w:b/>
                <w:color w:val="FFC000"/>
                <w:sz w:val="20"/>
              </w:rPr>
              <w:t>3.23</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1A975A79"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2F7FC"/>
          </w:tcPr>
          <w:p w14:paraId="3B768C61" w14:textId="77777777" w:rsidR="0008785D" w:rsidRDefault="00000000">
            <w:pPr>
              <w:jc w:val="center"/>
            </w:pPr>
            <w:r>
              <w:rPr>
                <w:sz w:val="18"/>
              </w:rPr>
              <w:t>Std. 1 / InTASC 10</w:t>
            </w:r>
          </w:p>
        </w:tc>
      </w:tr>
      <w:tr w:rsidR="0008785D" w14:paraId="5474FC47"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FFFFF"/>
          </w:tcPr>
          <w:p w14:paraId="2CDA22D0" w14:textId="77777777" w:rsidR="0008785D" w:rsidRDefault="00000000">
            <w:r>
              <w:rPr>
                <w:b/>
                <w:sz w:val="19"/>
              </w:rPr>
              <w:t>Instructional Practice</w:t>
            </w:r>
          </w:p>
        </w:tc>
        <w:tc>
          <w:tcPr>
            <w:tcW w:w="2016" w:type="dxa"/>
            <w:tcBorders>
              <w:top w:val="single" w:sz="4" w:space="0" w:color="CCCCCC"/>
              <w:left w:val="single" w:sz="4" w:space="0" w:color="CCCCCC"/>
              <w:bottom w:val="single" w:sz="4" w:space="0" w:color="CCCCCC"/>
              <w:right w:val="single" w:sz="4" w:space="0" w:color="CCCCCC"/>
            </w:tcBorders>
            <w:shd w:val="clear" w:color="auto" w:fill="FFFFFF"/>
          </w:tcPr>
          <w:p w14:paraId="47764627" w14:textId="77777777" w:rsidR="0008785D" w:rsidRDefault="00000000">
            <w:pPr>
              <w:jc w:val="center"/>
            </w:pPr>
            <w:r>
              <w:rPr>
                <w:b/>
                <w:color w:val="FFC000"/>
                <w:sz w:val="20"/>
              </w:rPr>
              <w:t>3.21</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1F6E0FAD"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FFFFF"/>
          </w:tcPr>
          <w:p w14:paraId="5C5C1A97" w14:textId="77777777" w:rsidR="0008785D" w:rsidRDefault="00000000">
            <w:pPr>
              <w:jc w:val="center"/>
            </w:pPr>
            <w:r>
              <w:rPr>
                <w:sz w:val="18"/>
              </w:rPr>
              <w:t>Std. 1 / InTASC 6–8</w:t>
            </w:r>
          </w:p>
        </w:tc>
      </w:tr>
      <w:tr w:rsidR="0008785D" w14:paraId="51802A68" w14:textId="77777777">
        <w:trPr>
          <w:jc w:val="center"/>
        </w:trPr>
        <w:tc>
          <w:tcPr>
            <w:tcW w:w="5616" w:type="dxa"/>
            <w:tcBorders>
              <w:top w:val="single" w:sz="4" w:space="0" w:color="CCCCCC"/>
              <w:left w:val="single" w:sz="4" w:space="0" w:color="CCCCCC"/>
              <w:bottom w:val="single" w:sz="4" w:space="0" w:color="CCCCCC"/>
              <w:right w:val="single" w:sz="4" w:space="0" w:color="CCCCCC"/>
            </w:tcBorders>
            <w:shd w:val="clear" w:color="auto" w:fill="F2F7FC"/>
          </w:tcPr>
          <w:p w14:paraId="26FF1F70" w14:textId="77777777" w:rsidR="0008785D" w:rsidRDefault="00000000">
            <w:r>
              <w:rPr>
                <w:b/>
                <w:sz w:val="19"/>
              </w:rPr>
              <w:t>Technology Integration</w:t>
            </w:r>
          </w:p>
        </w:tc>
        <w:tc>
          <w:tcPr>
            <w:tcW w:w="2016" w:type="dxa"/>
            <w:tcBorders>
              <w:top w:val="single" w:sz="4" w:space="0" w:color="CCCCCC"/>
              <w:left w:val="single" w:sz="4" w:space="0" w:color="CCCCCC"/>
              <w:bottom w:val="single" w:sz="4" w:space="0" w:color="CCCCCC"/>
              <w:right w:val="single" w:sz="4" w:space="0" w:color="CCCCCC"/>
            </w:tcBorders>
            <w:shd w:val="clear" w:color="auto" w:fill="F2F7FC"/>
          </w:tcPr>
          <w:p w14:paraId="2465D7E4" w14:textId="77777777" w:rsidR="0008785D" w:rsidRDefault="00000000">
            <w:pPr>
              <w:jc w:val="center"/>
            </w:pPr>
            <w:r>
              <w:rPr>
                <w:b/>
                <w:color w:val="FFC000"/>
                <w:sz w:val="20"/>
              </w:rPr>
              <w:t>3.18</w:t>
            </w:r>
          </w:p>
        </w:tc>
        <w:tc>
          <w:tcPr>
            <w:tcW w:w="2160" w:type="dxa"/>
            <w:tcBorders>
              <w:top w:val="single" w:sz="4" w:space="0" w:color="CCCCCC"/>
              <w:left w:val="single" w:sz="4" w:space="0" w:color="CCCCCC"/>
              <w:bottom w:val="single" w:sz="4" w:space="0" w:color="CCCCCC"/>
              <w:right w:val="single" w:sz="4" w:space="0" w:color="CCCCCC"/>
            </w:tcBorders>
            <w:shd w:val="clear" w:color="auto" w:fill="FFC000"/>
          </w:tcPr>
          <w:p w14:paraId="72181540" w14:textId="77777777" w:rsidR="0008785D" w:rsidRDefault="00000000">
            <w:pPr>
              <w:jc w:val="center"/>
            </w:pPr>
            <w:r>
              <w:rPr>
                <w:b/>
                <w:sz w:val="19"/>
              </w:rPr>
              <w:t>Meets</w:t>
            </w:r>
          </w:p>
        </w:tc>
        <w:tc>
          <w:tcPr>
            <w:tcW w:w="2160" w:type="dxa"/>
            <w:tcBorders>
              <w:top w:val="single" w:sz="4" w:space="0" w:color="CCCCCC"/>
              <w:left w:val="single" w:sz="4" w:space="0" w:color="CCCCCC"/>
              <w:bottom w:val="single" w:sz="4" w:space="0" w:color="CCCCCC"/>
              <w:right w:val="single" w:sz="4" w:space="0" w:color="CCCCCC"/>
            </w:tcBorders>
            <w:shd w:val="clear" w:color="auto" w:fill="F2F7FC"/>
          </w:tcPr>
          <w:p w14:paraId="20F426C5" w14:textId="77777777" w:rsidR="0008785D" w:rsidRDefault="00000000">
            <w:pPr>
              <w:jc w:val="center"/>
            </w:pPr>
            <w:r>
              <w:rPr>
                <w:sz w:val="18"/>
              </w:rPr>
              <w:t>Std. 1 / InTASC 8</w:t>
            </w:r>
          </w:p>
        </w:tc>
      </w:tr>
    </w:tbl>
    <w:p w14:paraId="3CE7C5A0" w14:textId="77777777" w:rsidR="0008785D" w:rsidRDefault="0008785D"/>
    <w:p w14:paraId="22956FE8" w14:textId="77777777" w:rsidR="0008785D" w:rsidRDefault="00000000">
      <w:r>
        <w:rPr>
          <w:b/>
          <w:color w:val="70AD47"/>
          <w:sz w:val="18"/>
        </w:rPr>
        <w:t xml:space="preserve">█ Exceeds Expectations (≥ 3.50)  </w:t>
      </w:r>
      <w:r>
        <w:rPr>
          <w:b/>
          <w:color w:val="FFC000"/>
          <w:sz w:val="18"/>
        </w:rPr>
        <w:t xml:space="preserve">█ Meets Expectations (3.00–3.49)  </w:t>
      </w:r>
      <w:r>
        <w:rPr>
          <w:b/>
          <w:color w:val="FF4B4B"/>
          <w:sz w:val="18"/>
        </w:rPr>
        <w:t>█ Developing (&lt; 3.00)</w:t>
      </w:r>
    </w:p>
    <w:p w14:paraId="59F2D685" w14:textId="77777777" w:rsidR="0008785D" w:rsidRDefault="00000000">
      <w:r>
        <w:br w:type="page"/>
      </w:r>
    </w:p>
    <w:p w14:paraId="541C91D8" w14:textId="77777777" w:rsidR="0008785D" w:rsidRDefault="00000000">
      <w:pPr>
        <w:pStyle w:val="Heading2"/>
      </w:pPr>
      <w:r>
        <w:rPr>
          <w:rFonts w:ascii="Calibri" w:hAnsi="Calibri"/>
        </w:rPr>
        <w:lastRenderedPageBreak/>
        <w:t>4.2 Item-Level Ratings (n = 11)</w:t>
      </w:r>
    </w:p>
    <w:p w14:paraId="6713EA07" w14:textId="77777777" w:rsidR="0008785D" w:rsidRDefault="00000000">
      <w:pPr>
        <w:spacing w:after="120"/>
      </w:pPr>
      <w:r>
        <w:t>Mean ratings for each of the 23 competency indicators, grouped by performance domain.</w:t>
      </w:r>
    </w:p>
    <w:tbl>
      <w:tblPr>
        <w:tblStyle w:val="TableGrid"/>
        <w:tblW w:w="0" w:type="auto"/>
        <w:jc w:val="center"/>
        <w:tblLook w:val="04A0" w:firstRow="1" w:lastRow="0" w:firstColumn="1" w:lastColumn="0" w:noHBand="0" w:noVBand="1"/>
      </w:tblPr>
      <w:tblGrid>
        <w:gridCol w:w="548"/>
        <w:gridCol w:w="6081"/>
        <w:gridCol w:w="1316"/>
        <w:gridCol w:w="1399"/>
      </w:tblGrid>
      <w:tr w:rsidR="0008785D" w14:paraId="267C328C" w14:textId="77777777">
        <w:trPr>
          <w:jc w:val="center"/>
        </w:trPr>
        <w:tc>
          <w:tcPr>
            <w:tcW w:w="576" w:type="dxa"/>
            <w:tcBorders>
              <w:top w:val="single" w:sz="6" w:space="0" w:color="FFFFFF"/>
              <w:left w:val="single" w:sz="6" w:space="0" w:color="FFFFFF"/>
              <w:bottom w:val="single" w:sz="6" w:space="0" w:color="FFFFFF"/>
              <w:right w:val="single" w:sz="6" w:space="0" w:color="FFFFFF"/>
            </w:tcBorders>
            <w:shd w:val="clear" w:color="auto" w:fill="1F3E6E"/>
          </w:tcPr>
          <w:p w14:paraId="0205F13A" w14:textId="77777777" w:rsidR="0008785D" w:rsidRDefault="00000000">
            <w:pPr>
              <w:jc w:val="center"/>
            </w:pPr>
            <w:r>
              <w:rPr>
                <w:b/>
                <w:color w:val="FFFFFF"/>
                <w:sz w:val="19"/>
              </w:rPr>
              <w:t>#</w:t>
            </w:r>
          </w:p>
        </w:tc>
        <w:tc>
          <w:tcPr>
            <w:tcW w:w="6984" w:type="dxa"/>
            <w:tcBorders>
              <w:top w:val="single" w:sz="6" w:space="0" w:color="FFFFFF"/>
              <w:left w:val="single" w:sz="6" w:space="0" w:color="FFFFFF"/>
              <w:bottom w:val="single" w:sz="6" w:space="0" w:color="FFFFFF"/>
              <w:right w:val="single" w:sz="6" w:space="0" w:color="FFFFFF"/>
            </w:tcBorders>
            <w:shd w:val="clear" w:color="auto" w:fill="1F3E6E"/>
          </w:tcPr>
          <w:p w14:paraId="3903FA04" w14:textId="77777777" w:rsidR="0008785D" w:rsidRDefault="00000000">
            <w:pPr>
              <w:jc w:val="center"/>
            </w:pPr>
            <w:r>
              <w:rPr>
                <w:b/>
                <w:color w:val="FFFFFF"/>
                <w:sz w:val="19"/>
              </w:rPr>
              <w:t>Competency Indicator</w:t>
            </w:r>
          </w:p>
        </w:tc>
        <w:tc>
          <w:tcPr>
            <w:tcW w:w="1440" w:type="dxa"/>
            <w:tcBorders>
              <w:top w:val="single" w:sz="6" w:space="0" w:color="FFFFFF"/>
              <w:left w:val="single" w:sz="6" w:space="0" w:color="FFFFFF"/>
              <w:bottom w:val="single" w:sz="6" w:space="0" w:color="FFFFFF"/>
              <w:right w:val="single" w:sz="6" w:space="0" w:color="FFFFFF"/>
            </w:tcBorders>
            <w:shd w:val="clear" w:color="auto" w:fill="1F3E6E"/>
          </w:tcPr>
          <w:p w14:paraId="689B2AEB" w14:textId="77777777" w:rsidR="0008785D" w:rsidRDefault="00000000">
            <w:pPr>
              <w:jc w:val="center"/>
            </w:pPr>
            <w:r>
              <w:rPr>
                <w:b/>
                <w:color w:val="FFFFFF"/>
                <w:sz w:val="19"/>
              </w:rPr>
              <w:t>Mean</w:t>
            </w:r>
          </w:p>
        </w:tc>
        <w:tc>
          <w:tcPr>
            <w:tcW w:w="1512" w:type="dxa"/>
            <w:tcBorders>
              <w:top w:val="single" w:sz="6" w:space="0" w:color="FFFFFF"/>
              <w:left w:val="single" w:sz="6" w:space="0" w:color="FFFFFF"/>
              <w:bottom w:val="single" w:sz="6" w:space="0" w:color="FFFFFF"/>
              <w:right w:val="single" w:sz="6" w:space="0" w:color="FFFFFF"/>
            </w:tcBorders>
            <w:shd w:val="clear" w:color="auto" w:fill="1F3E6E"/>
          </w:tcPr>
          <w:p w14:paraId="23CA6472" w14:textId="77777777" w:rsidR="0008785D" w:rsidRDefault="00000000">
            <w:pPr>
              <w:jc w:val="center"/>
            </w:pPr>
            <w:r>
              <w:rPr>
                <w:b/>
                <w:color w:val="FFFFFF"/>
                <w:sz w:val="19"/>
              </w:rPr>
              <w:t>Level</w:t>
            </w:r>
          </w:p>
        </w:tc>
      </w:tr>
      <w:tr w:rsidR="0008785D" w14:paraId="2E351A4B"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05ABE321" w14:textId="77777777" w:rsidR="0008785D" w:rsidRDefault="00000000">
            <w:r>
              <w:rPr>
                <w:b/>
                <w:color w:val="1F3E6E"/>
                <w:sz w:val="18"/>
              </w:rPr>
              <w:t>THE LEARNER AND LEARNING</w:t>
            </w:r>
          </w:p>
        </w:tc>
      </w:tr>
      <w:tr w:rsidR="0008785D" w14:paraId="01BB1EE4"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463E76A7" w14:textId="77777777" w:rsidR="0008785D" w:rsidRDefault="00000000">
            <w:pPr>
              <w:jc w:val="center"/>
            </w:pPr>
            <w:r>
              <w:rPr>
                <w:sz w:val="18"/>
              </w:rPr>
              <w:t>1</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655AC27A" w14:textId="77777777" w:rsidR="0008785D" w:rsidRDefault="00000000">
            <w:r>
              <w:rPr>
                <w:sz w:val="18"/>
              </w:rPr>
              <w:t>Demonstrate understanding of the principles of student development.</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65E3AC0B" w14:textId="77777777" w:rsidR="0008785D" w:rsidRDefault="00000000">
            <w:pPr>
              <w:jc w:val="center"/>
            </w:pPr>
            <w:r>
              <w:rPr>
                <w:b/>
                <w:color w:val="70AD47"/>
                <w:sz w:val="19"/>
              </w:rPr>
              <w:t>3.55</w:t>
            </w:r>
          </w:p>
        </w:tc>
        <w:tc>
          <w:tcPr>
            <w:tcW w:w="1512" w:type="dxa"/>
            <w:tcBorders>
              <w:top w:val="single" w:sz="4" w:space="0" w:color="CCCCCC"/>
              <w:left w:val="single" w:sz="4" w:space="0" w:color="CCCCCC"/>
              <w:bottom w:val="single" w:sz="4" w:space="0" w:color="CCCCCC"/>
              <w:right w:val="single" w:sz="4" w:space="0" w:color="CCCCCC"/>
            </w:tcBorders>
            <w:shd w:val="clear" w:color="auto" w:fill="70AD47"/>
          </w:tcPr>
          <w:p w14:paraId="6A4C0726" w14:textId="77777777" w:rsidR="0008785D" w:rsidRDefault="00000000">
            <w:pPr>
              <w:jc w:val="center"/>
            </w:pPr>
            <w:r>
              <w:rPr>
                <w:b/>
                <w:color w:val="FFFFFF"/>
                <w:sz w:val="18"/>
              </w:rPr>
              <w:t>Exceeds</w:t>
            </w:r>
          </w:p>
        </w:tc>
      </w:tr>
      <w:tr w:rsidR="0008785D" w14:paraId="78D3E34E"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029CBB64" w14:textId="77777777" w:rsidR="0008785D" w:rsidRDefault="00000000">
            <w:pPr>
              <w:jc w:val="center"/>
            </w:pPr>
            <w:r>
              <w:rPr>
                <w:sz w:val="18"/>
              </w:rPr>
              <w:t>2</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51CDA566" w14:textId="77777777" w:rsidR="0008785D" w:rsidRDefault="00000000">
            <w:r>
              <w:rPr>
                <w:sz w:val="18"/>
              </w:rPr>
              <w:t>Adapt teaching to differences in learning.</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594F2220" w14:textId="77777777" w:rsidR="0008785D" w:rsidRDefault="00000000">
            <w:pPr>
              <w:jc w:val="center"/>
            </w:pPr>
            <w:r>
              <w:rPr>
                <w:b/>
                <w:color w:val="FFC000"/>
                <w:sz w:val="19"/>
              </w:rPr>
              <w:t>3.18</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4BDD0349" w14:textId="77777777" w:rsidR="0008785D" w:rsidRDefault="00000000">
            <w:pPr>
              <w:jc w:val="center"/>
            </w:pPr>
            <w:r>
              <w:rPr>
                <w:b/>
                <w:sz w:val="18"/>
              </w:rPr>
              <w:t>Meets</w:t>
            </w:r>
          </w:p>
        </w:tc>
      </w:tr>
      <w:tr w:rsidR="0008785D" w14:paraId="24345CA3"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73C414BA" w14:textId="77777777" w:rsidR="0008785D" w:rsidRDefault="00000000">
            <w:pPr>
              <w:jc w:val="center"/>
            </w:pPr>
            <w:r>
              <w:rPr>
                <w:sz w:val="18"/>
              </w:rPr>
              <w:t>3</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445C2B44" w14:textId="77777777" w:rsidR="0008785D" w:rsidRDefault="00000000">
            <w:r>
              <w:rPr>
                <w:sz w:val="18"/>
              </w:rPr>
              <w:t>Plan activities that foster a safe and supportive environment for all students.</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1EF4A7BF" w14:textId="77777777" w:rsidR="0008785D" w:rsidRDefault="00000000">
            <w:pPr>
              <w:jc w:val="center"/>
            </w:pPr>
            <w:r>
              <w:rPr>
                <w:b/>
                <w:color w:val="70AD47"/>
                <w:sz w:val="19"/>
              </w:rPr>
              <w:t>3.55</w:t>
            </w:r>
          </w:p>
        </w:tc>
        <w:tc>
          <w:tcPr>
            <w:tcW w:w="1512" w:type="dxa"/>
            <w:tcBorders>
              <w:top w:val="single" w:sz="4" w:space="0" w:color="CCCCCC"/>
              <w:left w:val="single" w:sz="4" w:space="0" w:color="CCCCCC"/>
              <w:bottom w:val="single" w:sz="4" w:space="0" w:color="CCCCCC"/>
              <w:right w:val="single" w:sz="4" w:space="0" w:color="CCCCCC"/>
            </w:tcBorders>
            <w:shd w:val="clear" w:color="auto" w:fill="70AD47"/>
          </w:tcPr>
          <w:p w14:paraId="2AD40E46" w14:textId="77777777" w:rsidR="0008785D" w:rsidRDefault="00000000">
            <w:pPr>
              <w:jc w:val="center"/>
            </w:pPr>
            <w:r>
              <w:rPr>
                <w:b/>
                <w:color w:val="FFFFFF"/>
                <w:sz w:val="18"/>
              </w:rPr>
              <w:t>Exceeds</w:t>
            </w:r>
          </w:p>
        </w:tc>
      </w:tr>
      <w:tr w:rsidR="0008785D" w14:paraId="36157553"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07D29E74" w14:textId="77777777" w:rsidR="0008785D" w:rsidRDefault="00000000">
            <w:r>
              <w:rPr>
                <w:b/>
                <w:color w:val="1F3E6E"/>
                <w:sz w:val="18"/>
              </w:rPr>
              <w:t>CONTENT KNOWLEDGE</w:t>
            </w:r>
          </w:p>
        </w:tc>
      </w:tr>
      <w:tr w:rsidR="0008785D" w14:paraId="0623E408"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7042B8EE" w14:textId="77777777" w:rsidR="0008785D" w:rsidRDefault="00000000">
            <w:pPr>
              <w:jc w:val="center"/>
            </w:pPr>
            <w:r>
              <w:rPr>
                <w:sz w:val="18"/>
              </w:rPr>
              <w:t>4</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4ABD831D" w14:textId="77777777" w:rsidR="0008785D" w:rsidRDefault="00000000">
            <w:r>
              <w:rPr>
                <w:sz w:val="18"/>
              </w:rPr>
              <w:t>Apply and clearly explain the key concepts of their discipline.</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635BC4BA" w14:textId="77777777" w:rsidR="0008785D" w:rsidRDefault="00000000">
            <w:pPr>
              <w:jc w:val="center"/>
            </w:pPr>
            <w:r>
              <w:rPr>
                <w:b/>
                <w:color w:val="FFC000"/>
                <w:sz w:val="19"/>
              </w:rPr>
              <w:t>3.27</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52970190" w14:textId="77777777" w:rsidR="0008785D" w:rsidRDefault="00000000">
            <w:pPr>
              <w:jc w:val="center"/>
            </w:pPr>
            <w:r>
              <w:rPr>
                <w:b/>
                <w:sz w:val="18"/>
              </w:rPr>
              <w:t>Meets</w:t>
            </w:r>
          </w:p>
        </w:tc>
      </w:tr>
      <w:tr w:rsidR="0008785D" w14:paraId="35D07120"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29EFBDE8" w14:textId="77777777" w:rsidR="0008785D" w:rsidRDefault="00000000">
            <w:pPr>
              <w:jc w:val="center"/>
            </w:pPr>
            <w:r>
              <w:rPr>
                <w:sz w:val="18"/>
              </w:rPr>
              <w:t>5</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6D552D31" w14:textId="77777777" w:rsidR="0008785D" w:rsidRDefault="00000000">
            <w:r>
              <w:rPr>
                <w:sz w:val="18"/>
              </w:rPr>
              <w:t>Integrate interdisciplinary knowledge to enrich learning.</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77B3AEAD" w14:textId="77777777" w:rsidR="0008785D" w:rsidRDefault="00000000">
            <w:pPr>
              <w:jc w:val="center"/>
            </w:pPr>
            <w:r>
              <w:rPr>
                <w:b/>
                <w:color w:val="FFC000"/>
                <w:sz w:val="19"/>
              </w:rPr>
              <w:t>3.27</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4341290B" w14:textId="77777777" w:rsidR="0008785D" w:rsidRDefault="00000000">
            <w:pPr>
              <w:jc w:val="center"/>
            </w:pPr>
            <w:r>
              <w:rPr>
                <w:b/>
                <w:sz w:val="18"/>
              </w:rPr>
              <w:t>Meets</w:t>
            </w:r>
          </w:p>
        </w:tc>
      </w:tr>
      <w:tr w:rsidR="0008785D" w14:paraId="7FAB8CF6"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1890A235" w14:textId="77777777" w:rsidR="0008785D" w:rsidRDefault="00000000">
            <w:r>
              <w:rPr>
                <w:b/>
                <w:color w:val="1F3E6E"/>
                <w:sz w:val="18"/>
              </w:rPr>
              <w:t>INSTRUCTIONAL PRACTICE</w:t>
            </w:r>
          </w:p>
        </w:tc>
      </w:tr>
      <w:tr w:rsidR="0008785D" w14:paraId="4877AE3D"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734BC508" w14:textId="77777777" w:rsidR="0008785D" w:rsidRDefault="00000000">
            <w:pPr>
              <w:jc w:val="center"/>
            </w:pPr>
            <w:r>
              <w:rPr>
                <w:sz w:val="18"/>
              </w:rPr>
              <w:t>6</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3CD2B3ED" w14:textId="77777777" w:rsidR="0008785D" w:rsidRDefault="00000000">
            <w:r>
              <w:rPr>
                <w:sz w:val="18"/>
              </w:rPr>
              <w:t>Use evidence-based instructional strategies.</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7A4D53DA" w14:textId="77777777" w:rsidR="0008785D" w:rsidRDefault="00000000">
            <w:pPr>
              <w:jc w:val="center"/>
            </w:pPr>
            <w:r>
              <w:rPr>
                <w:b/>
                <w:color w:val="FFC000"/>
                <w:sz w:val="19"/>
              </w:rPr>
              <w:t>3.18</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0396BA5A" w14:textId="77777777" w:rsidR="0008785D" w:rsidRDefault="00000000">
            <w:pPr>
              <w:jc w:val="center"/>
            </w:pPr>
            <w:r>
              <w:rPr>
                <w:b/>
                <w:sz w:val="18"/>
              </w:rPr>
              <w:t>Meets</w:t>
            </w:r>
          </w:p>
        </w:tc>
      </w:tr>
      <w:tr w:rsidR="0008785D" w14:paraId="527982B3"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3264460F" w14:textId="77777777" w:rsidR="0008785D" w:rsidRDefault="00000000">
            <w:pPr>
              <w:jc w:val="center"/>
            </w:pPr>
            <w:r>
              <w:rPr>
                <w:sz w:val="18"/>
              </w:rPr>
              <w:t>7</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4BE07681" w14:textId="77777777" w:rsidR="0008785D" w:rsidRDefault="00000000">
            <w:r>
              <w:rPr>
                <w:sz w:val="18"/>
              </w:rPr>
              <w:t>Differentiate instruction according to learning needs.</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7D2F1085" w14:textId="77777777" w:rsidR="0008785D" w:rsidRDefault="00000000">
            <w:pPr>
              <w:jc w:val="center"/>
            </w:pPr>
            <w:r>
              <w:rPr>
                <w:b/>
                <w:color w:val="FFC000"/>
                <w:sz w:val="19"/>
              </w:rPr>
              <w:t>3.27</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1199C078" w14:textId="77777777" w:rsidR="0008785D" w:rsidRDefault="00000000">
            <w:pPr>
              <w:jc w:val="center"/>
            </w:pPr>
            <w:r>
              <w:rPr>
                <w:b/>
                <w:sz w:val="18"/>
              </w:rPr>
              <w:t>Meets</w:t>
            </w:r>
          </w:p>
        </w:tc>
      </w:tr>
      <w:tr w:rsidR="0008785D" w14:paraId="0E3D7A29"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1A97F555" w14:textId="77777777" w:rsidR="0008785D" w:rsidRDefault="00000000">
            <w:pPr>
              <w:jc w:val="center"/>
            </w:pPr>
            <w:r>
              <w:rPr>
                <w:sz w:val="18"/>
              </w:rPr>
              <w:t>8</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52AB6B5C" w14:textId="77777777" w:rsidR="0008785D" w:rsidRDefault="00000000">
            <w:r>
              <w:rPr>
                <w:sz w:val="18"/>
              </w:rPr>
              <w:t>Design activities that leverage technology to enhance participation and understanding.</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15428C14" w14:textId="77777777" w:rsidR="0008785D" w:rsidRDefault="00000000">
            <w:pPr>
              <w:jc w:val="center"/>
            </w:pPr>
            <w:r>
              <w:rPr>
                <w:b/>
                <w:color w:val="FFC000"/>
                <w:sz w:val="19"/>
              </w:rPr>
              <w:t>3.18</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3504A512" w14:textId="77777777" w:rsidR="0008785D" w:rsidRDefault="00000000">
            <w:pPr>
              <w:jc w:val="center"/>
            </w:pPr>
            <w:r>
              <w:rPr>
                <w:b/>
                <w:sz w:val="18"/>
              </w:rPr>
              <w:t>Meets</w:t>
            </w:r>
          </w:p>
        </w:tc>
      </w:tr>
      <w:tr w:rsidR="0008785D" w14:paraId="5437D1BC"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67842978" w14:textId="77777777" w:rsidR="0008785D" w:rsidRDefault="00000000">
            <w:r>
              <w:rPr>
                <w:b/>
                <w:color w:val="1F3E6E"/>
                <w:sz w:val="18"/>
              </w:rPr>
              <w:t>PROFESSIONAL RESPONSIBILITY AND ETHICS</w:t>
            </w:r>
          </w:p>
        </w:tc>
      </w:tr>
      <w:tr w:rsidR="0008785D" w14:paraId="1C8A59AC"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7C75FDC6" w14:textId="77777777" w:rsidR="0008785D" w:rsidRDefault="00000000">
            <w:pPr>
              <w:jc w:val="center"/>
            </w:pPr>
            <w:r>
              <w:rPr>
                <w:sz w:val="18"/>
              </w:rPr>
              <w:t>9</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55958505" w14:textId="77777777" w:rsidR="0008785D" w:rsidRDefault="00000000">
            <w:r>
              <w:rPr>
                <w:sz w:val="18"/>
              </w:rPr>
              <w:t>Comply with ethical and regulatory standards in professional practice as teachers.</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641D06D4" w14:textId="77777777" w:rsidR="0008785D" w:rsidRDefault="00000000">
            <w:pPr>
              <w:jc w:val="center"/>
            </w:pPr>
            <w:r>
              <w:rPr>
                <w:b/>
                <w:color w:val="FFC000"/>
                <w:sz w:val="19"/>
              </w:rPr>
              <w:t>3.36</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489BD014" w14:textId="77777777" w:rsidR="0008785D" w:rsidRDefault="00000000">
            <w:pPr>
              <w:jc w:val="center"/>
            </w:pPr>
            <w:r>
              <w:rPr>
                <w:b/>
                <w:sz w:val="18"/>
              </w:rPr>
              <w:t>Meets</w:t>
            </w:r>
          </w:p>
        </w:tc>
      </w:tr>
      <w:tr w:rsidR="0008785D" w14:paraId="2395CC99"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029EDD20" w14:textId="77777777" w:rsidR="0008785D" w:rsidRDefault="00000000">
            <w:r>
              <w:rPr>
                <w:b/>
                <w:color w:val="1F3E6E"/>
                <w:sz w:val="18"/>
              </w:rPr>
              <w:t>COLLABORATION</w:t>
            </w:r>
          </w:p>
        </w:tc>
      </w:tr>
      <w:tr w:rsidR="0008785D" w14:paraId="56213540"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44D6D75C" w14:textId="77777777" w:rsidR="0008785D" w:rsidRDefault="00000000">
            <w:pPr>
              <w:jc w:val="center"/>
            </w:pPr>
            <w:r>
              <w:rPr>
                <w:sz w:val="18"/>
              </w:rPr>
              <w:t>10</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0110C3BC" w14:textId="77777777" w:rsidR="0008785D" w:rsidRDefault="00000000">
            <w:r>
              <w:rPr>
                <w:sz w:val="18"/>
              </w:rPr>
              <w:t>Collaborate effectively with colleagues.</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7B31B891" w14:textId="77777777" w:rsidR="0008785D" w:rsidRDefault="00000000">
            <w:pPr>
              <w:jc w:val="center"/>
            </w:pPr>
            <w:r>
              <w:rPr>
                <w:b/>
                <w:color w:val="FFC000"/>
                <w:sz w:val="19"/>
              </w:rPr>
              <w:t>3.27</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3D829880" w14:textId="77777777" w:rsidR="0008785D" w:rsidRDefault="00000000">
            <w:pPr>
              <w:jc w:val="center"/>
            </w:pPr>
            <w:r>
              <w:rPr>
                <w:b/>
                <w:sz w:val="18"/>
              </w:rPr>
              <w:t>Meets</w:t>
            </w:r>
          </w:p>
        </w:tc>
      </w:tr>
      <w:tr w:rsidR="0008785D" w14:paraId="7C67BB64"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5304AE6B" w14:textId="77777777" w:rsidR="0008785D" w:rsidRDefault="00000000">
            <w:pPr>
              <w:jc w:val="center"/>
            </w:pPr>
            <w:r>
              <w:rPr>
                <w:sz w:val="18"/>
              </w:rPr>
              <w:t>11</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75A4145C" w14:textId="77777777" w:rsidR="0008785D" w:rsidRDefault="00000000">
            <w:r>
              <w:rPr>
                <w:sz w:val="18"/>
              </w:rPr>
              <w:t>Collaborate effectively with families and the community.</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32AE174B" w14:textId="77777777" w:rsidR="0008785D" w:rsidRDefault="00000000">
            <w:pPr>
              <w:jc w:val="center"/>
            </w:pPr>
            <w:r>
              <w:rPr>
                <w:b/>
                <w:color w:val="FFC000"/>
                <w:sz w:val="19"/>
              </w:rPr>
              <w:t>3.18</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5BC0541D" w14:textId="77777777" w:rsidR="0008785D" w:rsidRDefault="00000000">
            <w:pPr>
              <w:jc w:val="center"/>
            </w:pPr>
            <w:r>
              <w:rPr>
                <w:b/>
                <w:sz w:val="18"/>
              </w:rPr>
              <w:t>Meets</w:t>
            </w:r>
          </w:p>
        </w:tc>
      </w:tr>
      <w:tr w:rsidR="0008785D" w14:paraId="62F554FF"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328CE9E2" w14:textId="77777777" w:rsidR="0008785D" w:rsidRDefault="00000000">
            <w:r>
              <w:rPr>
                <w:b/>
                <w:color w:val="1F3E6E"/>
                <w:sz w:val="18"/>
              </w:rPr>
              <w:t>LEARNING ENVIRONMENT</w:t>
            </w:r>
          </w:p>
        </w:tc>
      </w:tr>
      <w:tr w:rsidR="0008785D" w14:paraId="7B80B1EC"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78CAA8EE" w14:textId="77777777" w:rsidR="0008785D" w:rsidRDefault="00000000">
            <w:pPr>
              <w:jc w:val="center"/>
            </w:pPr>
            <w:r>
              <w:rPr>
                <w:sz w:val="18"/>
              </w:rPr>
              <w:t>12</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11BF9AB0" w14:textId="77777777" w:rsidR="0008785D" w:rsidRDefault="00000000">
            <w:r>
              <w:rPr>
                <w:sz w:val="18"/>
              </w:rPr>
              <w:t>Establish and maintain an organized and respectful classroom environment.</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7E9E1EE3" w14:textId="77777777" w:rsidR="0008785D" w:rsidRDefault="00000000">
            <w:pPr>
              <w:jc w:val="center"/>
            </w:pPr>
            <w:r>
              <w:rPr>
                <w:b/>
                <w:color w:val="70AD47"/>
                <w:sz w:val="19"/>
              </w:rPr>
              <w:t>3.55</w:t>
            </w:r>
          </w:p>
        </w:tc>
        <w:tc>
          <w:tcPr>
            <w:tcW w:w="1512" w:type="dxa"/>
            <w:tcBorders>
              <w:top w:val="single" w:sz="4" w:space="0" w:color="CCCCCC"/>
              <w:left w:val="single" w:sz="4" w:space="0" w:color="CCCCCC"/>
              <w:bottom w:val="single" w:sz="4" w:space="0" w:color="CCCCCC"/>
              <w:right w:val="single" w:sz="4" w:space="0" w:color="CCCCCC"/>
            </w:tcBorders>
            <w:shd w:val="clear" w:color="auto" w:fill="70AD47"/>
          </w:tcPr>
          <w:p w14:paraId="1313D936" w14:textId="77777777" w:rsidR="0008785D" w:rsidRDefault="00000000">
            <w:pPr>
              <w:jc w:val="center"/>
            </w:pPr>
            <w:r>
              <w:rPr>
                <w:b/>
                <w:color w:val="FFFFFF"/>
                <w:sz w:val="18"/>
              </w:rPr>
              <w:t>Exceeds</w:t>
            </w:r>
          </w:p>
        </w:tc>
      </w:tr>
      <w:tr w:rsidR="0008785D" w14:paraId="336269B2"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1336AB9D" w14:textId="77777777" w:rsidR="0008785D" w:rsidRDefault="00000000">
            <w:r>
              <w:rPr>
                <w:b/>
                <w:color w:val="1F3E6E"/>
                <w:sz w:val="18"/>
              </w:rPr>
              <w:t>ASSESSMENT</w:t>
            </w:r>
          </w:p>
        </w:tc>
      </w:tr>
      <w:tr w:rsidR="0008785D" w14:paraId="59777B12"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617DAC53" w14:textId="77777777" w:rsidR="0008785D" w:rsidRDefault="00000000">
            <w:pPr>
              <w:jc w:val="center"/>
            </w:pPr>
            <w:r>
              <w:rPr>
                <w:sz w:val="18"/>
              </w:rPr>
              <w:t>13</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2D48E41D" w14:textId="77777777" w:rsidR="0008785D" w:rsidRDefault="00000000">
            <w:r>
              <w:rPr>
                <w:sz w:val="18"/>
              </w:rPr>
              <w:t>Use formative assessment strategies to guide instruction.</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6063FEF4" w14:textId="77777777" w:rsidR="0008785D" w:rsidRDefault="00000000">
            <w:pPr>
              <w:jc w:val="center"/>
            </w:pPr>
            <w:r>
              <w:rPr>
                <w:b/>
                <w:color w:val="FFC000"/>
                <w:sz w:val="19"/>
              </w:rPr>
              <w:t>3.27</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7738CF59" w14:textId="77777777" w:rsidR="0008785D" w:rsidRDefault="00000000">
            <w:pPr>
              <w:jc w:val="center"/>
            </w:pPr>
            <w:r>
              <w:rPr>
                <w:b/>
                <w:sz w:val="18"/>
              </w:rPr>
              <w:t>Meets</w:t>
            </w:r>
          </w:p>
        </w:tc>
      </w:tr>
      <w:tr w:rsidR="0008785D" w14:paraId="290F53C4"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57B95766" w14:textId="77777777" w:rsidR="0008785D" w:rsidRDefault="00000000">
            <w:pPr>
              <w:jc w:val="center"/>
            </w:pPr>
            <w:r>
              <w:rPr>
                <w:sz w:val="18"/>
              </w:rPr>
              <w:t>14</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7C5AD98A" w14:textId="77777777" w:rsidR="0008785D" w:rsidRDefault="00000000">
            <w:r>
              <w:rPr>
                <w:sz w:val="18"/>
              </w:rPr>
              <w:t>Analyze academic data and qualitative observations to adjust practices.</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44587C24" w14:textId="77777777" w:rsidR="0008785D" w:rsidRDefault="00000000">
            <w:pPr>
              <w:jc w:val="center"/>
            </w:pPr>
            <w:r>
              <w:rPr>
                <w:b/>
                <w:color w:val="FFC000"/>
                <w:sz w:val="19"/>
              </w:rPr>
              <w:t>3.27</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119F5868" w14:textId="77777777" w:rsidR="0008785D" w:rsidRDefault="00000000">
            <w:pPr>
              <w:jc w:val="center"/>
            </w:pPr>
            <w:r>
              <w:rPr>
                <w:b/>
                <w:sz w:val="18"/>
              </w:rPr>
              <w:t>Meets</w:t>
            </w:r>
          </w:p>
        </w:tc>
      </w:tr>
      <w:tr w:rsidR="0008785D" w14:paraId="362AAEB0"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4C0D52B4" w14:textId="77777777" w:rsidR="0008785D" w:rsidRDefault="00000000">
            <w:r>
              <w:rPr>
                <w:b/>
                <w:color w:val="1F3E6E"/>
                <w:sz w:val="18"/>
              </w:rPr>
              <w:t>PROFESSIONAL LEARNING AND REFLECTION</w:t>
            </w:r>
          </w:p>
        </w:tc>
      </w:tr>
      <w:tr w:rsidR="0008785D" w14:paraId="0C73BDD4"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1E7C73FA" w14:textId="77777777" w:rsidR="0008785D" w:rsidRDefault="00000000">
            <w:pPr>
              <w:jc w:val="center"/>
            </w:pPr>
            <w:r>
              <w:rPr>
                <w:sz w:val="18"/>
              </w:rPr>
              <w:t>15</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2779EFB9" w14:textId="77777777" w:rsidR="0008785D" w:rsidRDefault="00000000">
            <w:r>
              <w:rPr>
                <w:sz w:val="18"/>
              </w:rPr>
              <w:t>Reflect critically on their daily performance to improve teaching.</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0BEE6500" w14:textId="77777777" w:rsidR="0008785D" w:rsidRDefault="00000000">
            <w:pPr>
              <w:jc w:val="center"/>
            </w:pPr>
            <w:r>
              <w:rPr>
                <w:b/>
                <w:color w:val="FFC000"/>
                <w:sz w:val="19"/>
              </w:rPr>
              <w:t>3.27</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53A56DD7" w14:textId="77777777" w:rsidR="0008785D" w:rsidRDefault="00000000">
            <w:pPr>
              <w:jc w:val="center"/>
            </w:pPr>
            <w:r>
              <w:rPr>
                <w:b/>
                <w:sz w:val="18"/>
              </w:rPr>
              <w:t>Meets</w:t>
            </w:r>
          </w:p>
        </w:tc>
      </w:tr>
      <w:tr w:rsidR="0008785D" w14:paraId="3D20CB8B"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4F4636FF" w14:textId="77777777" w:rsidR="0008785D" w:rsidRDefault="00000000">
            <w:pPr>
              <w:jc w:val="center"/>
            </w:pPr>
            <w:r>
              <w:rPr>
                <w:sz w:val="18"/>
              </w:rPr>
              <w:t>16</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53B8AB54" w14:textId="77777777" w:rsidR="0008785D" w:rsidRDefault="00000000">
            <w:r>
              <w:rPr>
                <w:sz w:val="18"/>
              </w:rPr>
              <w:t>Actively seek opportunities for continuous learning.</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6E91956C" w14:textId="77777777" w:rsidR="0008785D" w:rsidRDefault="00000000">
            <w:pPr>
              <w:jc w:val="center"/>
            </w:pPr>
            <w:r>
              <w:rPr>
                <w:b/>
                <w:color w:val="FFC000"/>
                <w:sz w:val="19"/>
              </w:rPr>
              <w:t>3.36</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621E3D41" w14:textId="77777777" w:rsidR="0008785D" w:rsidRDefault="00000000">
            <w:pPr>
              <w:jc w:val="center"/>
            </w:pPr>
            <w:r>
              <w:rPr>
                <w:b/>
                <w:sz w:val="18"/>
              </w:rPr>
              <w:t>Meets</w:t>
            </w:r>
          </w:p>
        </w:tc>
      </w:tr>
      <w:tr w:rsidR="0008785D" w14:paraId="1FF9FE8D"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2E2D60AC" w14:textId="77777777" w:rsidR="0008785D" w:rsidRDefault="00000000">
            <w:pPr>
              <w:jc w:val="center"/>
            </w:pPr>
            <w:r>
              <w:rPr>
                <w:sz w:val="18"/>
              </w:rPr>
              <w:t>17</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1DE283C6" w14:textId="77777777" w:rsidR="0008785D" w:rsidRDefault="00000000">
            <w:r>
              <w:rPr>
                <w:sz w:val="18"/>
              </w:rPr>
              <w:t>Apply new knowledge and practices in their classroom.</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15E5FBE1" w14:textId="77777777" w:rsidR="0008785D" w:rsidRDefault="00000000">
            <w:pPr>
              <w:jc w:val="center"/>
            </w:pPr>
            <w:r>
              <w:rPr>
                <w:b/>
                <w:color w:val="FFC000"/>
                <w:sz w:val="19"/>
              </w:rPr>
              <w:t>3.27</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32FC9C03" w14:textId="77777777" w:rsidR="0008785D" w:rsidRDefault="00000000">
            <w:pPr>
              <w:jc w:val="center"/>
            </w:pPr>
            <w:r>
              <w:rPr>
                <w:b/>
                <w:sz w:val="18"/>
              </w:rPr>
              <w:t>Meets</w:t>
            </w:r>
          </w:p>
        </w:tc>
      </w:tr>
      <w:tr w:rsidR="0008785D" w14:paraId="2C13BB8B"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54A72A6F" w14:textId="77777777" w:rsidR="0008785D" w:rsidRDefault="00000000">
            <w:r>
              <w:rPr>
                <w:b/>
                <w:color w:val="1F3E6E"/>
                <w:sz w:val="18"/>
              </w:rPr>
              <w:t>LEADERSHIP AND SCHOOL CULTURE</w:t>
            </w:r>
          </w:p>
        </w:tc>
      </w:tr>
      <w:tr w:rsidR="0008785D" w14:paraId="2FDAB42A"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0C0E8776" w14:textId="77777777" w:rsidR="0008785D" w:rsidRDefault="00000000">
            <w:pPr>
              <w:jc w:val="center"/>
            </w:pPr>
            <w:r>
              <w:rPr>
                <w:sz w:val="18"/>
              </w:rPr>
              <w:t>18</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246F63AE" w14:textId="77777777" w:rsidR="0008785D" w:rsidRDefault="00000000">
            <w:r>
              <w:rPr>
                <w:sz w:val="18"/>
              </w:rPr>
              <w:t>Assume leadership roles in school initiatives.</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604FCB52" w14:textId="77777777" w:rsidR="0008785D" w:rsidRDefault="00000000">
            <w:pPr>
              <w:jc w:val="center"/>
            </w:pPr>
            <w:r>
              <w:rPr>
                <w:b/>
                <w:color w:val="FFC000"/>
                <w:sz w:val="19"/>
              </w:rPr>
              <w:t>3.18</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70380312" w14:textId="77777777" w:rsidR="0008785D" w:rsidRDefault="00000000">
            <w:pPr>
              <w:jc w:val="center"/>
            </w:pPr>
            <w:r>
              <w:rPr>
                <w:b/>
                <w:sz w:val="18"/>
              </w:rPr>
              <w:t>Meets</w:t>
            </w:r>
          </w:p>
        </w:tc>
      </w:tr>
      <w:tr w:rsidR="0008785D" w14:paraId="47C9D438"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743E7503" w14:textId="77777777" w:rsidR="0008785D" w:rsidRDefault="00000000">
            <w:pPr>
              <w:jc w:val="center"/>
            </w:pPr>
            <w:r>
              <w:rPr>
                <w:sz w:val="18"/>
              </w:rPr>
              <w:t>19</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1B1BF86A" w14:textId="77777777" w:rsidR="0008785D" w:rsidRDefault="00000000">
            <w:r>
              <w:rPr>
                <w:sz w:val="18"/>
              </w:rPr>
              <w:t>Promote a culture of learning within their institution.</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1B15CBCF" w14:textId="77777777" w:rsidR="0008785D" w:rsidRDefault="00000000">
            <w:pPr>
              <w:jc w:val="center"/>
            </w:pPr>
            <w:r>
              <w:rPr>
                <w:b/>
                <w:color w:val="70AD47"/>
                <w:sz w:val="19"/>
              </w:rPr>
              <w:t>3.55</w:t>
            </w:r>
          </w:p>
        </w:tc>
        <w:tc>
          <w:tcPr>
            <w:tcW w:w="1512" w:type="dxa"/>
            <w:tcBorders>
              <w:top w:val="single" w:sz="4" w:space="0" w:color="CCCCCC"/>
              <w:left w:val="single" w:sz="4" w:space="0" w:color="CCCCCC"/>
              <w:bottom w:val="single" w:sz="4" w:space="0" w:color="CCCCCC"/>
              <w:right w:val="single" w:sz="4" w:space="0" w:color="CCCCCC"/>
            </w:tcBorders>
            <w:shd w:val="clear" w:color="auto" w:fill="70AD47"/>
          </w:tcPr>
          <w:p w14:paraId="2E387AC0" w14:textId="77777777" w:rsidR="0008785D" w:rsidRDefault="00000000">
            <w:pPr>
              <w:jc w:val="center"/>
            </w:pPr>
            <w:r>
              <w:rPr>
                <w:b/>
                <w:color w:val="FFFFFF"/>
                <w:sz w:val="18"/>
              </w:rPr>
              <w:t>Exceeds</w:t>
            </w:r>
          </w:p>
        </w:tc>
      </w:tr>
      <w:tr w:rsidR="0008785D" w14:paraId="2196924B"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24DF323A" w14:textId="77777777" w:rsidR="0008785D" w:rsidRDefault="00000000">
            <w:r>
              <w:rPr>
                <w:b/>
                <w:color w:val="1F3E6E"/>
                <w:sz w:val="18"/>
              </w:rPr>
              <w:t>DIVERSITY, EQUITY, AND INCLUSION</w:t>
            </w:r>
          </w:p>
        </w:tc>
      </w:tr>
      <w:tr w:rsidR="0008785D" w14:paraId="198DCDF0"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28771C11" w14:textId="77777777" w:rsidR="0008785D" w:rsidRDefault="00000000">
            <w:pPr>
              <w:jc w:val="center"/>
            </w:pPr>
            <w:r>
              <w:rPr>
                <w:sz w:val="18"/>
              </w:rPr>
              <w:t>20</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7C7C8353" w14:textId="77777777" w:rsidR="0008785D" w:rsidRDefault="00000000">
            <w:r>
              <w:rPr>
                <w:sz w:val="18"/>
              </w:rPr>
              <w:t>Integrate inclusive practices that value cultural and linguistic diversity.</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4FC70E79" w14:textId="77777777" w:rsidR="0008785D" w:rsidRDefault="00000000">
            <w:pPr>
              <w:jc w:val="center"/>
            </w:pPr>
            <w:r>
              <w:rPr>
                <w:b/>
                <w:color w:val="FFC000"/>
                <w:sz w:val="19"/>
              </w:rPr>
              <w:t>3.36</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22831372" w14:textId="77777777" w:rsidR="0008785D" w:rsidRDefault="00000000">
            <w:pPr>
              <w:jc w:val="center"/>
            </w:pPr>
            <w:r>
              <w:rPr>
                <w:b/>
                <w:sz w:val="18"/>
              </w:rPr>
              <w:t>Meets</w:t>
            </w:r>
          </w:p>
        </w:tc>
      </w:tr>
      <w:tr w:rsidR="0008785D" w14:paraId="6BDCE86F"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70223BA3" w14:textId="77777777" w:rsidR="0008785D" w:rsidRDefault="00000000">
            <w:pPr>
              <w:jc w:val="center"/>
            </w:pPr>
            <w:r>
              <w:rPr>
                <w:sz w:val="18"/>
              </w:rPr>
              <w:t>21</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6C56D90B" w14:textId="77777777" w:rsidR="0008785D" w:rsidRDefault="00000000">
            <w:r>
              <w:rPr>
                <w:sz w:val="18"/>
              </w:rPr>
              <w:t>Adapt content and assessments to address cognitive and functional diversity.</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5AD16C5C" w14:textId="77777777" w:rsidR="0008785D" w:rsidRDefault="00000000">
            <w:pPr>
              <w:jc w:val="center"/>
            </w:pPr>
            <w:r>
              <w:rPr>
                <w:b/>
                <w:color w:val="FFC000"/>
                <w:sz w:val="19"/>
              </w:rPr>
              <w:t>3.18</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2F36FEE2" w14:textId="77777777" w:rsidR="0008785D" w:rsidRDefault="00000000">
            <w:pPr>
              <w:jc w:val="center"/>
            </w:pPr>
            <w:r>
              <w:rPr>
                <w:b/>
                <w:sz w:val="18"/>
              </w:rPr>
              <w:t>Meets</w:t>
            </w:r>
          </w:p>
        </w:tc>
      </w:tr>
      <w:tr w:rsidR="0008785D" w14:paraId="38B1258D" w14:textId="77777777">
        <w:trPr>
          <w:jc w:val="center"/>
        </w:trPr>
        <w:tc>
          <w:tcPr>
            <w:tcW w:w="9360" w:type="dxa"/>
            <w:gridSpan w:val="4"/>
            <w:tcBorders>
              <w:top w:val="single" w:sz="6" w:space="0" w:color="2E75B6"/>
              <w:left w:val="single" w:sz="6" w:space="0" w:color="2E75B6"/>
              <w:bottom w:val="single" w:sz="6" w:space="0" w:color="2E75B6"/>
              <w:right w:val="single" w:sz="6" w:space="0" w:color="2E75B6"/>
            </w:tcBorders>
            <w:shd w:val="clear" w:color="auto" w:fill="D5E8F4"/>
          </w:tcPr>
          <w:p w14:paraId="14CDDD58" w14:textId="77777777" w:rsidR="0008785D" w:rsidRDefault="00000000">
            <w:r>
              <w:rPr>
                <w:b/>
                <w:color w:val="1F3E6E"/>
                <w:sz w:val="18"/>
              </w:rPr>
              <w:t>TECHNOLOGY INTEGRATION</w:t>
            </w:r>
          </w:p>
        </w:tc>
      </w:tr>
      <w:tr w:rsidR="0008785D" w14:paraId="0708310C"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AFCFF"/>
          </w:tcPr>
          <w:p w14:paraId="7EFA6EFB" w14:textId="77777777" w:rsidR="0008785D" w:rsidRDefault="00000000">
            <w:pPr>
              <w:jc w:val="center"/>
            </w:pPr>
            <w:r>
              <w:rPr>
                <w:sz w:val="18"/>
              </w:rPr>
              <w:t>22</w:t>
            </w:r>
          </w:p>
        </w:tc>
        <w:tc>
          <w:tcPr>
            <w:tcW w:w="6984" w:type="dxa"/>
            <w:tcBorders>
              <w:top w:val="single" w:sz="4" w:space="0" w:color="CCCCCC"/>
              <w:left w:val="single" w:sz="4" w:space="0" w:color="CCCCCC"/>
              <w:bottom w:val="single" w:sz="4" w:space="0" w:color="CCCCCC"/>
              <w:right w:val="single" w:sz="4" w:space="0" w:color="CCCCCC"/>
            </w:tcBorders>
            <w:shd w:val="clear" w:color="auto" w:fill="FAFCFF"/>
          </w:tcPr>
          <w:p w14:paraId="68808E70" w14:textId="77777777" w:rsidR="0008785D" w:rsidRDefault="00000000">
            <w:r>
              <w:rPr>
                <w:sz w:val="18"/>
              </w:rPr>
              <w:t>Design activities that leverage technology to enhance participation.</w:t>
            </w:r>
          </w:p>
        </w:tc>
        <w:tc>
          <w:tcPr>
            <w:tcW w:w="1440" w:type="dxa"/>
            <w:tcBorders>
              <w:top w:val="single" w:sz="4" w:space="0" w:color="CCCCCC"/>
              <w:left w:val="single" w:sz="4" w:space="0" w:color="CCCCCC"/>
              <w:bottom w:val="single" w:sz="4" w:space="0" w:color="CCCCCC"/>
              <w:right w:val="single" w:sz="4" w:space="0" w:color="CCCCCC"/>
            </w:tcBorders>
            <w:shd w:val="clear" w:color="auto" w:fill="FAFCFF"/>
          </w:tcPr>
          <w:p w14:paraId="26E55740" w14:textId="77777777" w:rsidR="0008785D" w:rsidRDefault="00000000">
            <w:pPr>
              <w:jc w:val="center"/>
            </w:pPr>
            <w:r>
              <w:rPr>
                <w:b/>
                <w:color w:val="FFC000"/>
                <w:sz w:val="19"/>
              </w:rPr>
              <w:t>3.27</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4750EFB1" w14:textId="77777777" w:rsidR="0008785D" w:rsidRDefault="00000000">
            <w:pPr>
              <w:jc w:val="center"/>
            </w:pPr>
            <w:r>
              <w:rPr>
                <w:b/>
                <w:sz w:val="18"/>
              </w:rPr>
              <w:t>Meets</w:t>
            </w:r>
          </w:p>
        </w:tc>
      </w:tr>
      <w:tr w:rsidR="0008785D" w14:paraId="60CA6BF3"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604E415F" w14:textId="77777777" w:rsidR="0008785D" w:rsidRDefault="00000000">
            <w:pPr>
              <w:jc w:val="center"/>
            </w:pPr>
            <w:r>
              <w:rPr>
                <w:sz w:val="18"/>
              </w:rPr>
              <w:t>23</w:t>
            </w:r>
          </w:p>
        </w:tc>
        <w:tc>
          <w:tcPr>
            <w:tcW w:w="6984" w:type="dxa"/>
            <w:tcBorders>
              <w:top w:val="single" w:sz="4" w:space="0" w:color="CCCCCC"/>
              <w:left w:val="single" w:sz="4" w:space="0" w:color="CCCCCC"/>
              <w:bottom w:val="single" w:sz="4" w:space="0" w:color="CCCCCC"/>
              <w:right w:val="single" w:sz="4" w:space="0" w:color="CCCCCC"/>
            </w:tcBorders>
            <w:shd w:val="clear" w:color="auto" w:fill="FFFFFF"/>
          </w:tcPr>
          <w:p w14:paraId="352EB334" w14:textId="77777777" w:rsidR="0008785D" w:rsidRDefault="00000000">
            <w:r>
              <w:rPr>
                <w:sz w:val="18"/>
              </w:rPr>
              <w:t>Evaluate the effectiveness of technological tools and make necessary adjustments.</w:t>
            </w:r>
          </w:p>
        </w:tc>
        <w:tc>
          <w:tcPr>
            <w:tcW w:w="1440" w:type="dxa"/>
            <w:tcBorders>
              <w:top w:val="single" w:sz="4" w:space="0" w:color="CCCCCC"/>
              <w:left w:val="single" w:sz="4" w:space="0" w:color="CCCCCC"/>
              <w:bottom w:val="single" w:sz="4" w:space="0" w:color="CCCCCC"/>
              <w:right w:val="single" w:sz="4" w:space="0" w:color="CCCCCC"/>
            </w:tcBorders>
            <w:shd w:val="clear" w:color="auto" w:fill="FFFFFF"/>
          </w:tcPr>
          <w:p w14:paraId="5B9D95A0" w14:textId="77777777" w:rsidR="0008785D" w:rsidRDefault="00000000">
            <w:pPr>
              <w:jc w:val="center"/>
            </w:pPr>
            <w:r>
              <w:rPr>
                <w:b/>
                <w:color w:val="FFC000"/>
                <w:sz w:val="19"/>
              </w:rPr>
              <w:t>3.09</w:t>
            </w:r>
          </w:p>
        </w:tc>
        <w:tc>
          <w:tcPr>
            <w:tcW w:w="1512" w:type="dxa"/>
            <w:tcBorders>
              <w:top w:val="single" w:sz="4" w:space="0" w:color="CCCCCC"/>
              <w:left w:val="single" w:sz="4" w:space="0" w:color="CCCCCC"/>
              <w:bottom w:val="single" w:sz="4" w:space="0" w:color="CCCCCC"/>
              <w:right w:val="single" w:sz="4" w:space="0" w:color="CCCCCC"/>
            </w:tcBorders>
            <w:shd w:val="clear" w:color="auto" w:fill="FFC000"/>
          </w:tcPr>
          <w:p w14:paraId="4781FCC2" w14:textId="77777777" w:rsidR="0008785D" w:rsidRDefault="00000000">
            <w:pPr>
              <w:jc w:val="center"/>
            </w:pPr>
            <w:r>
              <w:rPr>
                <w:b/>
                <w:sz w:val="18"/>
              </w:rPr>
              <w:t>Meets</w:t>
            </w:r>
          </w:p>
        </w:tc>
      </w:tr>
    </w:tbl>
    <w:p w14:paraId="509C4270" w14:textId="77777777" w:rsidR="0008785D" w:rsidRDefault="0008785D"/>
    <w:p w14:paraId="15AD9184" w14:textId="4D78418B" w:rsidR="0008785D" w:rsidRDefault="00000000">
      <w:pPr>
        <w:spacing w:after="80"/>
      </w:pPr>
      <w:r>
        <w:rPr>
          <w:b/>
        </w:rPr>
        <w:t xml:space="preserve">Overall Mean Rating (n = 11): </w:t>
      </w:r>
      <w:r>
        <w:rPr>
          <w:color w:val="1F3E6E"/>
        </w:rPr>
        <w:t xml:space="preserve">3.30 / </w:t>
      </w:r>
      <w:proofErr w:type="gramStart"/>
      <w:r>
        <w:rPr>
          <w:color w:val="1F3E6E"/>
        </w:rPr>
        <w:t>4.00  —</w:t>
      </w:r>
      <w:proofErr w:type="gramEnd"/>
      <w:r>
        <w:rPr>
          <w:color w:val="1F3E6E"/>
        </w:rPr>
        <w:t xml:space="preserve">  </w:t>
      </w:r>
      <w:r w:rsidR="00302C4D">
        <w:t>Meets Expectations, with selected areas approaching or exceeding expectations</w:t>
      </w:r>
      <w:r w:rsidR="00302C4D">
        <w:t>.</w:t>
      </w:r>
    </w:p>
    <w:p w14:paraId="3EB42BBA" w14:textId="77777777" w:rsidR="0008785D" w:rsidRDefault="00000000">
      <w:r>
        <w:br w:type="page"/>
      </w:r>
    </w:p>
    <w:p w14:paraId="20FE4FF2" w14:textId="77777777" w:rsidR="0008785D" w:rsidRDefault="00000000">
      <w:pPr>
        <w:pStyle w:val="Heading1"/>
      </w:pPr>
      <w:r>
        <w:rPr>
          <w:rFonts w:ascii="Calibri" w:hAnsi="Calibri"/>
        </w:rPr>
        <w:lastRenderedPageBreak/>
        <w:t>5. Qualitative Findings</w:t>
      </w:r>
    </w:p>
    <w:p w14:paraId="574DB46E" w14:textId="77777777" w:rsidR="0008785D" w:rsidRDefault="0008785D">
      <w:pPr>
        <w:pBdr>
          <w:bottom w:val="single" w:sz="12" w:space="0" w:color="1F3E6E"/>
        </w:pBdr>
        <w:spacing w:after="120"/>
      </w:pPr>
    </w:p>
    <w:p w14:paraId="5B0FBEAB" w14:textId="77777777" w:rsidR="0008785D" w:rsidRDefault="00000000">
      <w:pPr>
        <w:spacing w:after="160"/>
      </w:pPr>
      <w:r>
        <w:t>Respondents provided written input through three open-ended questions. Responses are summarized thematically below. All quotes are presented anonymously, attributed only to the respondent's role and geographic region.</w:t>
      </w:r>
    </w:p>
    <w:p w14:paraId="061296BE" w14:textId="77777777" w:rsidR="0008785D" w:rsidRDefault="00000000">
      <w:pPr>
        <w:pStyle w:val="Heading2"/>
      </w:pPr>
      <w:r>
        <w:rPr>
          <w:rFonts w:ascii="Calibri" w:hAnsi="Calibri"/>
        </w:rPr>
        <w:t>5.1 Observed Strengths of PPM Completers</w:t>
      </w:r>
    </w:p>
    <w:p w14:paraId="122DAABA" w14:textId="77777777" w:rsidR="0008785D" w:rsidRDefault="00000000">
      <w:pPr>
        <w:spacing w:after="80"/>
      </w:pPr>
      <w:r>
        <w:t>The following themes emerged consistently across respondents:</w:t>
      </w:r>
    </w:p>
    <w:p w14:paraId="7CFB61C8" w14:textId="77777777" w:rsidR="0008785D" w:rsidRDefault="00000000">
      <w:pPr>
        <w:spacing w:before="100" w:after="80"/>
      </w:pPr>
      <w:r>
        <w:rPr>
          <w:b/>
          <w:color w:val="1F3E6E"/>
        </w:rPr>
        <w:t xml:space="preserve">Professionalism and Responsibility: </w:t>
      </w:r>
      <w:r>
        <w:t>Multiple respondents emphasized that PPM graduates demonstrate a strong sense of professional responsibility, follow institutional guidelines, and show consistent commitment to their work. Graduates were described as reliable, dedicated, and open to feedback.</w:t>
      </w:r>
    </w:p>
    <w:p w14:paraId="52E3290C" w14:textId="77777777" w:rsidR="0008785D" w:rsidRDefault="00000000">
      <w:pPr>
        <w:spacing w:before="100" w:after="80"/>
      </w:pPr>
      <w:r>
        <w:rPr>
          <w:b/>
          <w:color w:val="1F3E6E"/>
        </w:rPr>
        <w:t xml:space="preserve">Content Knowledge and Disciplinary Mastery: </w:t>
      </w:r>
      <w:r>
        <w:t>School principals highlighted graduates' solid command of their subject area and their ability to apply disciplinary knowledge effectively in the classroom — including mastery of the specific skills required in their specialization area.</w:t>
      </w:r>
    </w:p>
    <w:p w14:paraId="6FAA80B5" w14:textId="77777777" w:rsidR="0008785D" w:rsidRDefault="00000000">
      <w:pPr>
        <w:spacing w:before="100" w:after="80"/>
      </w:pPr>
      <w:r>
        <w:rPr>
          <w:b/>
          <w:color w:val="1F3E6E"/>
        </w:rPr>
        <w:t xml:space="preserve">Technology Knowledge and Alignment with Normative Documents: </w:t>
      </w:r>
      <w:r>
        <w:t>At least one supervisor specifically noted knowledge, use, and integration of technological tools as a strength, alongside proper alignment with DEPR normative documents governing curriculum and instruction.</w:t>
      </w:r>
    </w:p>
    <w:p w14:paraId="7B18874D" w14:textId="77777777" w:rsidR="0008785D" w:rsidRDefault="00000000">
      <w:pPr>
        <w:spacing w:before="100" w:after="80"/>
      </w:pPr>
      <w:r>
        <w:rPr>
          <w:b/>
          <w:color w:val="1F3E6E"/>
        </w:rPr>
        <w:t xml:space="preserve">Communication and Interpersonal Skills: </w:t>
      </w:r>
      <w:r>
        <w:t>Graduates were observed to communicate effectively with cooperating teachers, school staff, and students. Their receptiveness to guidance and constructive suggestions was noted as a professional asset.</w:t>
      </w:r>
    </w:p>
    <w:p w14:paraId="770B9639" w14:textId="77777777" w:rsidR="0008785D" w:rsidRDefault="00000000">
      <w:pPr>
        <w:spacing w:before="100" w:after="80"/>
      </w:pPr>
      <w:r>
        <w:rPr>
          <w:b/>
          <w:color w:val="1F3E6E"/>
        </w:rPr>
        <w:t xml:space="preserve">Disposition for Continuous Improvement: </w:t>
      </w:r>
      <w:r>
        <w:t>Several respondents described graduates as 'excellent professionals willing to continue improving,' underscoring a growth mindset and disposition toward lifelong professional learning — a core competency under CAEP Standard 1.</w:t>
      </w:r>
    </w:p>
    <w:p w14:paraId="128EEF49" w14:textId="77777777" w:rsidR="0008785D" w:rsidRDefault="00000000">
      <w:pPr>
        <w:pStyle w:val="Heading2"/>
      </w:pPr>
      <w:r>
        <w:rPr>
          <w:rFonts w:ascii="Calibri" w:hAnsi="Calibri"/>
        </w:rPr>
        <w:t>5.2 Areas Identified for Improvement</w:t>
      </w:r>
    </w:p>
    <w:p w14:paraId="107E90A0" w14:textId="77777777" w:rsidR="0008785D" w:rsidRDefault="00000000">
      <w:pPr>
        <w:spacing w:after="80"/>
      </w:pPr>
      <w:r>
        <w:t>The following themes were identified across respondents as priority areas for program attention:</w:t>
      </w:r>
    </w:p>
    <w:p w14:paraId="627EFA14" w14:textId="77777777" w:rsidR="0008785D" w:rsidRDefault="00000000">
      <w:pPr>
        <w:spacing w:before="100" w:after="80"/>
      </w:pPr>
      <w:r>
        <w:rPr>
          <w:b/>
          <w:color w:val="2E75B6"/>
        </w:rPr>
        <w:t xml:space="preserve">Classroom Management: </w:t>
      </w:r>
      <w:r>
        <w:t>Several respondents identified classroom management as a key developmental area, including establishing effective routines, maintaining instructional order, and building the confidence to manage diverse student populations independently.</w:t>
      </w:r>
    </w:p>
    <w:p w14:paraId="3C4CB4B2" w14:textId="77777777" w:rsidR="0008785D" w:rsidRDefault="00000000">
      <w:pPr>
        <w:spacing w:before="100" w:after="80"/>
      </w:pPr>
      <w:r>
        <w:rPr>
          <w:b/>
          <w:color w:val="2E75B6"/>
        </w:rPr>
        <w:t xml:space="preserve">Differentiated Instruction and Special Education: </w:t>
      </w:r>
      <w:r>
        <w:t>Multiple respondents highlighted the need to improve lesson planning that responds to individual student needs and the differentiation of materials for special education populations.</w:t>
      </w:r>
    </w:p>
    <w:p w14:paraId="65BCEBED" w14:textId="77777777" w:rsidR="0008785D" w:rsidRDefault="00000000">
      <w:pPr>
        <w:spacing w:before="100" w:after="80"/>
      </w:pPr>
      <w:r>
        <w:rPr>
          <w:b/>
          <w:color w:val="2E75B6"/>
        </w:rPr>
        <w:t xml:space="preserve">Normative Documents and Regulatory Compliance: </w:t>
      </w:r>
      <w:r>
        <w:t>Supervisors noted that some graduates need to more consistently apply DEPR normative documents and regulatory frameworks, including accommodation processes for students with disabilities.</w:t>
      </w:r>
    </w:p>
    <w:p w14:paraId="1BB3C615" w14:textId="77777777" w:rsidR="0008785D" w:rsidRDefault="00000000">
      <w:pPr>
        <w:spacing w:before="100" w:after="80"/>
      </w:pPr>
      <w:r>
        <w:rPr>
          <w:b/>
          <w:color w:val="2E75B6"/>
        </w:rPr>
        <w:t xml:space="preserve">DEPR Digital Platform Fluency: </w:t>
      </w:r>
      <w:r>
        <w:t>Graduates would benefit from coaching specific to the digital platforms used within the Puerto Rico Department of Education — beyond general technology awareness.</w:t>
      </w:r>
    </w:p>
    <w:p w14:paraId="5AC2C515" w14:textId="77777777" w:rsidR="0008785D" w:rsidRDefault="00000000">
      <w:pPr>
        <w:spacing w:before="100" w:after="80"/>
      </w:pPr>
      <w:r>
        <w:rPr>
          <w:b/>
          <w:color w:val="2E75B6"/>
        </w:rPr>
        <w:lastRenderedPageBreak/>
        <w:t xml:space="preserve">Curriculum Scaffolding and Grade-Level Calibration: </w:t>
      </w:r>
      <w:r>
        <w:t>Respondents observed that graduates sometimes need to calibrate the level of their instruction downward to meet students where they are, given that many arrive without grade-level foundational skills.</w:t>
      </w:r>
    </w:p>
    <w:p w14:paraId="7D0F8BF8" w14:textId="77777777" w:rsidR="0008785D" w:rsidRDefault="00000000">
      <w:pPr>
        <w:spacing w:before="100" w:after="80"/>
      </w:pPr>
      <w:r>
        <w:rPr>
          <w:b/>
          <w:color w:val="2E75B6"/>
        </w:rPr>
        <w:t xml:space="preserve">Assessment Readiness and Data-Driven Practice: </w:t>
      </w:r>
      <w:r>
        <w:t>Respondents recommended stronger preparation for standardized assessments and greater capacity to use academic data to inform and adjust instructional decisions.</w:t>
      </w:r>
    </w:p>
    <w:p w14:paraId="5879A506" w14:textId="77777777" w:rsidR="0008785D" w:rsidRDefault="00000000">
      <w:r>
        <w:br w:type="page"/>
      </w:r>
    </w:p>
    <w:p w14:paraId="4DBCC1A7" w14:textId="77777777" w:rsidR="0008785D" w:rsidRDefault="00000000">
      <w:pPr>
        <w:pStyle w:val="Heading2"/>
      </w:pPr>
      <w:r>
        <w:rPr>
          <w:rFonts w:ascii="Calibri" w:hAnsi="Calibri"/>
        </w:rPr>
        <w:lastRenderedPageBreak/>
        <w:t>5.3 Representative Anonymous Comments</w:t>
      </w:r>
    </w:p>
    <w:p w14:paraId="5D5E01C7" w14:textId="77777777" w:rsidR="0008785D" w:rsidRDefault="00000000">
      <w:pPr>
        <w:spacing w:after="160"/>
      </w:pPr>
      <w:r>
        <w:t>The following comments are representative of respondent input. They are presented without identifying information, attributed only to role and region (translated from Spanish where applicable):</w:t>
      </w:r>
    </w:p>
    <w:p w14:paraId="7A770E86" w14:textId="77777777" w:rsidR="0008785D" w:rsidRDefault="00000000">
      <w:pPr>
        <w:spacing w:before="80" w:after="40"/>
        <w:ind w:left="576" w:right="576"/>
      </w:pPr>
      <w:r>
        <w:rPr>
          <w:i/>
          <w:color w:val="1F3E6E"/>
          <w:sz w:val="21"/>
        </w:rPr>
        <w:t>“Excellent work, responsibility, knowledge — they follow guidelines. Our teachers are available to help, provide coaching, and serve as examples for future educators.”</w:t>
      </w:r>
    </w:p>
    <w:p w14:paraId="447525B6" w14:textId="77777777" w:rsidR="0008785D" w:rsidRDefault="00000000">
      <w:pPr>
        <w:spacing w:after="240"/>
        <w:ind w:left="576"/>
      </w:pPr>
      <w:r>
        <w:rPr>
          <w:b/>
          <w:sz w:val="19"/>
        </w:rPr>
        <w:t>— School Principal, Western Region</w:t>
      </w:r>
    </w:p>
    <w:p w14:paraId="5D349AB2" w14:textId="77777777" w:rsidR="0008785D" w:rsidRDefault="00000000">
      <w:pPr>
        <w:spacing w:before="80" w:after="40"/>
        <w:ind w:left="576" w:right="576"/>
      </w:pPr>
      <w:r>
        <w:rPr>
          <w:i/>
          <w:color w:val="1F3E6E"/>
          <w:sz w:val="21"/>
        </w:rPr>
        <w:t>“Very well prepared and committed to their work. To this day, all have demonstrated commitment and dedication.”</w:t>
      </w:r>
    </w:p>
    <w:p w14:paraId="461F87DD" w14:textId="77777777" w:rsidR="0008785D" w:rsidRDefault="00000000">
      <w:pPr>
        <w:spacing w:after="240"/>
        <w:ind w:left="576"/>
      </w:pPr>
      <w:r>
        <w:rPr>
          <w:b/>
          <w:sz w:val="19"/>
        </w:rPr>
        <w:t>— School Principal, Western Region</w:t>
      </w:r>
    </w:p>
    <w:p w14:paraId="42AC0406" w14:textId="77777777" w:rsidR="0008785D" w:rsidRDefault="00000000">
      <w:pPr>
        <w:spacing w:before="80" w:after="40"/>
        <w:ind w:left="576" w:right="576"/>
      </w:pPr>
      <w:r>
        <w:rPr>
          <w:i/>
          <w:color w:val="1F3E6E"/>
          <w:sz w:val="21"/>
        </w:rPr>
        <w:t>“They have the necessary tools to face the constant challenges of today's educational processes. There is always some apprehension, but they seek the best tools to resolve any situation.”</w:t>
      </w:r>
    </w:p>
    <w:p w14:paraId="5C2332BE" w14:textId="77777777" w:rsidR="0008785D" w:rsidRDefault="00000000">
      <w:pPr>
        <w:spacing w:after="240"/>
        <w:ind w:left="576"/>
      </w:pPr>
      <w:r>
        <w:rPr>
          <w:b/>
          <w:sz w:val="19"/>
        </w:rPr>
        <w:t>— School Principal, Western Region</w:t>
      </w:r>
    </w:p>
    <w:p w14:paraId="4D5E97B0" w14:textId="77777777" w:rsidR="0008785D" w:rsidRDefault="00000000">
      <w:pPr>
        <w:spacing w:before="80" w:after="40"/>
        <w:ind w:left="576" w:right="576"/>
      </w:pPr>
      <w:r>
        <w:rPr>
          <w:i/>
          <w:color w:val="1F3E6E"/>
          <w:sz w:val="21"/>
        </w:rPr>
        <w:t>“I recommend providing more time for teaching practice and pre-practice in schools so that teachers in training can better connect with the realities and processes of the classroom.”</w:t>
      </w:r>
    </w:p>
    <w:p w14:paraId="40EE0DA9" w14:textId="77777777" w:rsidR="0008785D" w:rsidRDefault="00000000">
      <w:pPr>
        <w:spacing w:after="240"/>
        <w:ind w:left="576"/>
      </w:pPr>
      <w:r>
        <w:rPr>
          <w:b/>
          <w:sz w:val="19"/>
        </w:rPr>
        <w:t>— School Principal, Western Region</w:t>
      </w:r>
    </w:p>
    <w:p w14:paraId="078ED441" w14:textId="77777777" w:rsidR="0008785D" w:rsidRDefault="00000000">
      <w:pPr>
        <w:spacing w:before="80" w:after="40"/>
        <w:ind w:left="576" w:right="576"/>
      </w:pPr>
      <w:r>
        <w:rPr>
          <w:i/>
          <w:color w:val="1F3E6E"/>
          <w:sz w:val="21"/>
        </w:rPr>
        <w:t>“Prepare them for assessments and tests; teach them to understand the individual needs of each student.”</w:t>
      </w:r>
    </w:p>
    <w:p w14:paraId="0D717C83" w14:textId="77777777" w:rsidR="0008785D" w:rsidRDefault="00000000">
      <w:pPr>
        <w:spacing w:after="240"/>
        <w:ind w:left="576"/>
      </w:pPr>
      <w:r>
        <w:rPr>
          <w:b/>
          <w:sz w:val="19"/>
        </w:rPr>
        <w:t>— Educational Supervisor, Western Region – DEPR</w:t>
      </w:r>
    </w:p>
    <w:p w14:paraId="55C25839" w14:textId="77777777" w:rsidR="0008785D" w:rsidRDefault="00000000">
      <w:pPr>
        <w:spacing w:before="80" w:after="40"/>
        <w:ind w:left="576" w:right="576"/>
      </w:pPr>
      <w:r>
        <w:rPr>
          <w:i/>
          <w:color w:val="1F3E6E"/>
          <w:sz w:val="21"/>
        </w:rPr>
        <w:t>“Knowledge, use and integration of technological tools. Alignment with normative documents. [Areas to address:] Generational gaps and use of educational tools.”</w:t>
      </w:r>
    </w:p>
    <w:p w14:paraId="1BBF6A1C" w14:textId="77777777" w:rsidR="0008785D" w:rsidRDefault="00000000">
      <w:pPr>
        <w:spacing w:after="240"/>
        <w:ind w:left="576"/>
      </w:pPr>
      <w:r>
        <w:rPr>
          <w:b/>
          <w:sz w:val="19"/>
        </w:rPr>
        <w:t>— Instructional Facilitator / DEPR Supervisor, Western Region</w:t>
      </w:r>
    </w:p>
    <w:p w14:paraId="19568120" w14:textId="77777777" w:rsidR="0008785D" w:rsidRDefault="00000000">
      <w:r>
        <w:br w:type="page"/>
      </w:r>
    </w:p>
    <w:p w14:paraId="26A47102" w14:textId="77777777" w:rsidR="0008785D" w:rsidRDefault="00000000">
      <w:pPr>
        <w:pStyle w:val="Heading1"/>
      </w:pPr>
      <w:r>
        <w:rPr>
          <w:rFonts w:ascii="Calibri" w:hAnsi="Calibri"/>
        </w:rPr>
        <w:lastRenderedPageBreak/>
        <w:t>6. Conclusions and Program Implications</w:t>
      </w:r>
    </w:p>
    <w:p w14:paraId="0D901F0A" w14:textId="77777777" w:rsidR="0008785D" w:rsidRDefault="0008785D">
      <w:pPr>
        <w:pBdr>
          <w:bottom w:val="single" w:sz="12" w:space="0" w:color="1F3E6E"/>
        </w:pBdr>
        <w:spacing w:after="120"/>
      </w:pPr>
    </w:p>
    <w:p w14:paraId="6D0376C8" w14:textId="7465EAC4" w:rsidR="0008785D" w:rsidRDefault="00000000">
      <w:pPr>
        <w:spacing w:after="160"/>
      </w:pPr>
      <w:r>
        <w:t>The unified employer survey data provide encouraging evidence of the overall effectiveness of the Teacher Preparation Program at the University of Puerto Rico</w:t>
      </w:r>
      <w:r w:rsidR="003C6C0D">
        <w:t>.</w:t>
      </w:r>
      <w:r w:rsidR="003C6C0D">
        <w:t xml:space="preserve"> </w:t>
      </w:r>
      <w:r>
        <w:t xml:space="preserve">An overall mean rating of 3.30 out of 4.00 across 11 employer respondents </w:t>
      </w:r>
      <w:r w:rsidR="004A2928">
        <w:t>indicates that program completers generally meet employer expectations, with selected areas approaching or exceeding expectations across multiple domains.</w:t>
      </w:r>
      <w:r w:rsidR="00B52162">
        <w:t xml:space="preserve"> </w:t>
      </w:r>
      <w:r w:rsidR="00B52162">
        <w:t>These findings will be triangulated with completer and alumni survey data to strengthen and validate evidence of program impact under CAEP Standard 4.</w:t>
      </w:r>
    </w:p>
    <w:p w14:paraId="38F0C0AE" w14:textId="77777777" w:rsidR="0008785D" w:rsidRDefault="00000000">
      <w:pPr>
        <w:spacing w:after="160"/>
      </w:pPr>
      <w:r>
        <w:t>The highest-rated domains — Learning Environment (M = 3.55), The Learner and Learning (M = 3.43), and Leadership and School Culture (M = 3.37) — reflect the program's success in preparing educators who create safe, structured, and developmentally appropriate learning environments while contributing meaningfully to school culture. No domain fell below 3.00, indicating that graduates are performing at or above a competent baseline across all measured areas.</w:t>
      </w:r>
    </w:p>
    <w:p w14:paraId="071CADF4" w14:textId="77777777" w:rsidR="0008785D" w:rsidRDefault="00000000">
      <w:pPr>
        <w:spacing w:after="160"/>
      </w:pPr>
      <w:r>
        <w:t>Technology Integration (M = 3.18) and Instructional Practice (M = 3.21) are the lowest-performing domains and align with themes raised in the qualitative responses. The following program implications are recommended:</w:t>
      </w:r>
    </w:p>
    <w:p w14:paraId="724A1BD7" w14:textId="77777777" w:rsidR="0008785D" w:rsidRDefault="00000000">
      <w:pPr>
        <w:spacing w:before="100" w:after="80"/>
      </w:pPr>
      <w:r>
        <w:rPr>
          <w:b/>
          <w:color w:val="1F3E6E"/>
        </w:rPr>
        <w:t xml:space="preserve">1. Expand Clinical Practice Hours: </w:t>
      </w:r>
      <w:r>
        <w:t>Multiple respondents recommended more time in authentic classroom settings prior to and during the practicum, to strengthen classroom management skills and build professional confidence.</w:t>
      </w:r>
    </w:p>
    <w:p w14:paraId="201AFBC5" w14:textId="77777777" w:rsidR="0008785D" w:rsidRDefault="00000000">
      <w:pPr>
        <w:spacing w:before="100" w:after="80"/>
      </w:pPr>
      <w:r>
        <w:rPr>
          <w:b/>
          <w:color w:val="1F3E6E"/>
        </w:rPr>
        <w:t xml:space="preserve">2. Integrate DEPR Platform and Normative Document Training: </w:t>
      </w:r>
      <w:r>
        <w:t>Targeted instruction in DEPR-specific digital platforms and regulatory frameworks would bridge the gap between general technology competency and the operational demands of Puerto Rico's public school system.</w:t>
      </w:r>
    </w:p>
    <w:p w14:paraId="4639875D" w14:textId="77777777" w:rsidR="0008785D" w:rsidRDefault="00000000">
      <w:pPr>
        <w:spacing w:before="100" w:after="80"/>
      </w:pPr>
      <w:r>
        <w:rPr>
          <w:b/>
          <w:color w:val="1F3E6E"/>
        </w:rPr>
        <w:t xml:space="preserve">3. Strengthen Differentiated Instruction and Special Education Coursework: </w:t>
      </w:r>
      <w:r>
        <w:t>Given recurring feedback on differentiation and special education support, the program should review these curricular areas to ensure all graduates can effectively serve diverse learners, including students with disabilities.</w:t>
      </w:r>
    </w:p>
    <w:p w14:paraId="280AC99D" w14:textId="77777777" w:rsidR="0008785D" w:rsidRDefault="00000000">
      <w:pPr>
        <w:spacing w:before="100" w:after="80"/>
      </w:pPr>
      <w:r>
        <w:rPr>
          <w:b/>
          <w:color w:val="1F3E6E"/>
        </w:rPr>
        <w:t xml:space="preserve">4. Enhance Assessment Literacy: </w:t>
      </w:r>
      <w:r>
        <w:t>Preparing graduates more thoroughly for data-driven instruction, formative assessment cycles, and Puerto Rico-specific standardized assessments would directly address employer feedback.</w:t>
      </w:r>
    </w:p>
    <w:p w14:paraId="3640D092" w14:textId="1B274262" w:rsidR="0008785D" w:rsidRDefault="00000000" w:rsidP="00997833">
      <w:pPr>
        <w:spacing w:before="100" w:after="80"/>
      </w:pPr>
      <w:r>
        <w:rPr>
          <w:b/>
          <w:color w:val="1F3E6E"/>
        </w:rPr>
        <w:t xml:space="preserve">5. Foster School and Community Engagement: </w:t>
      </w:r>
      <w:r>
        <w:t xml:space="preserve">The program may embed more experiential activities connecting teacher candidates to community-school partnerships and family engagement, in response to feedback about involvement in </w:t>
      </w:r>
      <w:r w:rsidR="00E1214D">
        <w:t xml:space="preserve">the </w:t>
      </w:r>
      <w:r>
        <w:t>broader school community.</w:t>
      </w:r>
    </w:p>
    <w:p w14:paraId="7679AB77" w14:textId="0ED244C7" w:rsidR="00997833" w:rsidRPr="00DA6C22" w:rsidRDefault="00DA6C22" w:rsidP="00997833">
      <w:pPr>
        <w:pStyle w:val="NormalWeb"/>
        <w:rPr>
          <w:rFonts w:asciiTheme="majorHAnsi" w:hAnsiTheme="majorHAnsi" w:cstheme="majorHAnsi"/>
          <w:sz w:val="22"/>
          <w:szCs w:val="22"/>
        </w:rPr>
      </w:pPr>
      <w:r w:rsidRPr="00DA6C22">
        <w:rPr>
          <w:rFonts w:asciiTheme="majorHAnsi" w:hAnsiTheme="majorHAnsi" w:cstheme="majorHAnsi"/>
          <w:sz w:val="22"/>
          <w:szCs w:val="22"/>
        </w:rPr>
        <w:t>These findings are integrated into the EPP’s Quality Assurance System (QAS) to support ongoing monitoring and program evaluation.</w:t>
      </w:r>
      <w:r w:rsidRPr="00DA6C22">
        <w:rPr>
          <w:rFonts w:asciiTheme="majorHAnsi" w:hAnsiTheme="majorHAnsi" w:cstheme="majorHAnsi"/>
          <w:sz w:val="22"/>
          <w:szCs w:val="22"/>
        </w:rPr>
        <w:t xml:space="preserve"> </w:t>
      </w:r>
      <w:r w:rsidR="00E1214D" w:rsidRPr="00DA6C22">
        <w:rPr>
          <w:rFonts w:asciiTheme="majorHAnsi" w:hAnsiTheme="majorHAnsi" w:cstheme="majorHAnsi"/>
          <w:sz w:val="22"/>
          <w:szCs w:val="22"/>
        </w:rPr>
        <w:t>These data are systematically reviewed by faculty and program leadership to inform evidence-based decision-making and continuous improvement processes.</w:t>
      </w:r>
      <w:r w:rsidR="00E1214D" w:rsidRPr="00DA6C22">
        <w:rPr>
          <w:rFonts w:asciiTheme="majorHAnsi" w:hAnsiTheme="majorHAnsi" w:cstheme="majorHAnsi"/>
          <w:sz w:val="22"/>
          <w:szCs w:val="22"/>
        </w:rPr>
        <w:t xml:space="preserve"> </w:t>
      </w:r>
      <w:r w:rsidR="00000000" w:rsidRPr="00DA6C22">
        <w:rPr>
          <w:rFonts w:asciiTheme="majorHAnsi" w:hAnsiTheme="majorHAnsi" w:cstheme="majorHAnsi"/>
          <w:sz w:val="22"/>
          <w:szCs w:val="22"/>
        </w:rPr>
        <w:t>These findings w</w:t>
      </w:r>
      <w:r w:rsidR="00E4638A" w:rsidRPr="00DA6C22">
        <w:rPr>
          <w:rFonts w:asciiTheme="majorHAnsi" w:hAnsiTheme="majorHAnsi" w:cstheme="majorHAnsi"/>
          <w:sz w:val="22"/>
          <w:szCs w:val="22"/>
        </w:rPr>
        <w:t>ere</w:t>
      </w:r>
      <w:r w:rsidR="00000000" w:rsidRPr="00DA6C22">
        <w:rPr>
          <w:rFonts w:asciiTheme="majorHAnsi" w:hAnsiTheme="majorHAnsi" w:cstheme="majorHAnsi"/>
          <w:sz w:val="22"/>
          <w:szCs w:val="22"/>
        </w:rPr>
        <w:t xml:space="preserve"> shared with facult</w:t>
      </w:r>
      <w:r w:rsidR="00997833" w:rsidRPr="00DA6C22">
        <w:rPr>
          <w:rFonts w:asciiTheme="majorHAnsi" w:hAnsiTheme="majorHAnsi" w:cstheme="majorHAnsi"/>
          <w:sz w:val="22"/>
          <w:szCs w:val="22"/>
        </w:rPr>
        <w:t>y</w:t>
      </w:r>
      <w:r w:rsidR="00000000" w:rsidRPr="00DA6C22">
        <w:rPr>
          <w:rFonts w:asciiTheme="majorHAnsi" w:hAnsiTheme="majorHAnsi" w:cstheme="majorHAnsi"/>
          <w:sz w:val="22"/>
          <w:szCs w:val="22"/>
        </w:rPr>
        <w:t xml:space="preserve"> to guide curriculum updates and field experience policy in alignment with CAEP accreditation expectations and the PPM's continuous improvement mission.</w:t>
      </w:r>
      <w:r w:rsidR="00997833" w:rsidRPr="00DA6C22">
        <w:rPr>
          <w:rFonts w:asciiTheme="majorHAnsi" w:hAnsiTheme="majorHAnsi" w:cstheme="majorHAnsi"/>
          <w:sz w:val="22"/>
          <w:szCs w:val="22"/>
        </w:rPr>
        <w:t xml:space="preserve"> </w:t>
      </w:r>
      <w:r w:rsidR="00997833" w:rsidRPr="00DA6C22">
        <w:rPr>
          <w:rFonts w:asciiTheme="majorHAnsi" w:hAnsiTheme="majorHAnsi" w:cstheme="majorHAnsi"/>
          <w:sz w:val="22"/>
          <w:szCs w:val="22"/>
        </w:rPr>
        <w:t>Based on these findings, the EPP has initiated the following actions:</w:t>
      </w:r>
    </w:p>
    <w:p w14:paraId="77A68D34" w14:textId="2EBBB4E2" w:rsidR="00997833" w:rsidRPr="00997833" w:rsidRDefault="00302C4D" w:rsidP="00997833">
      <w:pPr>
        <w:numPr>
          <w:ilvl w:val="0"/>
          <w:numId w:val="10"/>
        </w:numPr>
        <w:spacing w:before="100" w:beforeAutospacing="1" w:after="100" w:afterAutospacing="1" w:line="240" w:lineRule="auto"/>
        <w:rPr>
          <w:rFonts w:asciiTheme="majorHAnsi" w:eastAsia="Times New Roman" w:hAnsiTheme="majorHAnsi" w:cstheme="majorHAnsi"/>
          <w:color w:val="auto"/>
          <w:lang w:val="en-PR"/>
        </w:rPr>
      </w:pPr>
      <w:r>
        <w:lastRenderedPageBreak/>
        <w:t>Revision of coursework in differentiated instruction and special education to strengthen alignment with identified employer feedback.</w:t>
      </w:r>
      <w:r>
        <w:t xml:space="preserve"> </w:t>
      </w:r>
    </w:p>
    <w:p w14:paraId="237574B1" w14:textId="5EC30AC3" w:rsidR="00997833" w:rsidRPr="00997833" w:rsidRDefault="00997833" w:rsidP="00997833">
      <w:pPr>
        <w:numPr>
          <w:ilvl w:val="0"/>
          <w:numId w:val="10"/>
        </w:numPr>
        <w:spacing w:before="100" w:beforeAutospacing="1" w:after="100" w:afterAutospacing="1" w:line="240" w:lineRule="auto"/>
        <w:rPr>
          <w:rFonts w:asciiTheme="majorHAnsi" w:eastAsia="Times New Roman" w:hAnsiTheme="majorHAnsi" w:cstheme="majorHAnsi"/>
          <w:color w:val="auto"/>
          <w:lang w:val="en-PR"/>
        </w:rPr>
      </w:pPr>
      <w:r w:rsidRPr="00997833">
        <w:rPr>
          <w:rFonts w:asciiTheme="majorHAnsi" w:eastAsia="Times New Roman" w:hAnsiTheme="majorHAnsi" w:cstheme="majorHAnsi"/>
          <w:color w:val="auto"/>
          <w:lang w:val="en-PR"/>
        </w:rPr>
        <w:t xml:space="preserve">Strengthening of clinical experiences to address classroom management. </w:t>
      </w:r>
    </w:p>
    <w:p w14:paraId="12A2FE86" w14:textId="77777777" w:rsidR="00E1214D" w:rsidRDefault="00997833" w:rsidP="00997833">
      <w:pPr>
        <w:numPr>
          <w:ilvl w:val="0"/>
          <w:numId w:val="10"/>
        </w:numPr>
        <w:spacing w:before="100" w:beforeAutospacing="1" w:after="100" w:afterAutospacing="1" w:line="240" w:lineRule="auto"/>
        <w:rPr>
          <w:rFonts w:asciiTheme="majorHAnsi" w:eastAsia="Times New Roman" w:hAnsiTheme="majorHAnsi" w:cstheme="majorHAnsi"/>
          <w:color w:val="auto"/>
          <w:lang w:val="en-PR"/>
        </w:rPr>
      </w:pPr>
      <w:r w:rsidRPr="00997833">
        <w:rPr>
          <w:rFonts w:asciiTheme="majorHAnsi" w:eastAsia="Times New Roman" w:hAnsiTheme="majorHAnsi" w:cstheme="majorHAnsi"/>
          <w:color w:val="auto"/>
          <w:lang w:val="en-PR"/>
        </w:rPr>
        <w:t>Ongoing review of curriculum changes to evaluate impact in future data cycles.</w:t>
      </w:r>
    </w:p>
    <w:p w14:paraId="425C9A15" w14:textId="081A7B25" w:rsidR="0008785D" w:rsidRPr="00997833" w:rsidRDefault="00E1214D" w:rsidP="00E1214D">
      <w:pPr>
        <w:spacing w:before="100" w:beforeAutospacing="1" w:after="100" w:afterAutospacing="1" w:line="240" w:lineRule="auto"/>
        <w:rPr>
          <w:rFonts w:asciiTheme="majorHAnsi" w:eastAsia="Times New Roman" w:hAnsiTheme="majorHAnsi" w:cstheme="majorHAnsi"/>
          <w:color w:val="auto"/>
          <w:lang w:val="en-PR"/>
        </w:rPr>
      </w:pPr>
      <w:r>
        <w:t>The EPP will monitor the impact of these actions in subsequent data cycles to evaluate their effectiveness and inform ongoing program improvement.</w:t>
      </w:r>
      <w:r w:rsidR="00000000">
        <w:br w:type="page"/>
      </w:r>
    </w:p>
    <w:p w14:paraId="758FE1E1" w14:textId="77777777" w:rsidR="0008785D" w:rsidRDefault="00000000">
      <w:pPr>
        <w:pStyle w:val="Heading1"/>
      </w:pPr>
      <w:r>
        <w:rPr>
          <w:rFonts w:ascii="Calibri" w:hAnsi="Calibri"/>
        </w:rPr>
        <w:lastRenderedPageBreak/>
        <w:t>Appendix A: Survey Items by Domain</w:t>
      </w:r>
    </w:p>
    <w:p w14:paraId="2BD9752B" w14:textId="77777777" w:rsidR="0008785D" w:rsidRDefault="0008785D">
      <w:pPr>
        <w:pBdr>
          <w:bottom w:val="single" w:sz="12" w:space="0" w:color="1F3E6E"/>
        </w:pBdr>
        <w:spacing w:after="120"/>
      </w:pPr>
    </w:p>
    <w:p w14:paraId="5070B2D5" w14:textId="77777777" w:rsidR="0008785D" w:rsidRDefault="00000000">
      <w:pPr>
        <w:spacing w:after="160"/>
      </w:pPr>
      <w:r>
        <w:t>All 23 competency indicators organized by performance domain.</w:t>
      </w:r>
    </w:p>
    <w:tbl>
      <w:tblPr>
        <w:tblStyle w:val="TableGrid"/>
        <w:tblW w:w="0" w:type="auto"/>
        <w:jc w:val="center"/>
        <w:tblLook w:val="04A0" w:firstRow="1" w:lastRow="0" w:firstColumn="1" w:lastColumn="0" w:noHBand="0" w:noVBand="1"/>
      </w:tblPr>
      <w:tblGrid>
        <w:gridCol w:w="576"/>
        <w:gridCol w:w="3096"/>
        <w:gridCol w:w="5400"/>
      </w:tblGrid>
      <w:tr w:rsidR="0008785D" w14:paraId="2D8EFCD7" w14:textId="77777777">
        <w:trPr>
          <w:jc w:val="center"/>
        </w:trPr>
        <w:tc>
          <w:tcPr>
            <w:tcW w:w="576" w:type="dxa"/>
            <w:tcBorders>
              <w:top w:val="single" w:sz="6" w:space="0" w:color="FFFFFF"/>
              <w:left w:val="single" w:sz="6" w:space="0" w:color="FFFFFF"/>
              <w:bottom w:val="single" w:sz="6" w:space="0" w:color="FFFFFF"/>
              <w:right w:val="single" w:sz="6" w:space="0" w:color="FFFFFF"/>
            </w:tcBorders>
            <w:shd w:val="clear" w:color="auto" w:fill="1F3E6E"/>
          </w:tcPr>
          <w:p w14:paraId="0E8988C6" w14:textId="77777777" w:rsidR="0008785D" w:rsidRDefault="00000000">
            <w:pPr>
              <w:jc w:val="center"/>
            </w:pPr>
            <w:r>
              <w:rPr>
                <w:b/>
                <w:color w:val="FFFFFF"/>
                <w:sz w:val="19"/>
              </w:rPr>
              <w:t>#</w:t>
            </w:r>
          </w:p>
        </w:tc>
        <w:tc>
          <w:tcPr>
            <w:tcW w:w="3096" w:type="dxa"/>
            <w:tcBorders>
              <w:top w:val="single" w:sz="6" w:space="0" w:color="FFFFFF"/>
              <w:left w:val="single" w:sz="6" w:space="0" w:color="FFFFFF"/>
              <w:bottom w:val="single" w:sz="6" w:space="0" w:color="FFFFFF"/>
              <w:right w:val="single" w:sz="6" w:space="0" w:color="FFFFFF"/>
            </w:tcBorders>
            <w:shd w:val="clear" w:color="auto" w:fill="1F3E6E"/>
          </w:tcPr>
          <w:p w14:paraId="4D50BCEA" w14:textId="77777777" w:rsidR="0008785D" w:rsidRDefault="00000000">
            <w:pPr>
              <w:jc w:val="center"/>
            </w:pPr>
            <w:r>
              <w:rPr>
                <w:b/>
                <w:color w:val="FFFFFF"/>
                <w:sz w:val="19"/>
              </w:rPr>
              <w:t>Domain</w:t>
            </w:r>
          </w:p>
        </w:tc>
        <w:tc>
          <w:tcPr>
            <w:tcW w:w="5400" w:type="dxa"/>
            <w:tcBorders>
              <w:top w:val="single" w:sz="6" w:space="0" w:color="FFFFFF"/>
              <w:left w:val="single" w:sz="6" w:space="0" w:color="FFFFFF"/>
              <w:bottom w:val="single" w:sz="6" w:space="0" w:color="FFFFFF"/>
              <w:right w:val="single" w:sz="6" w:space="0" w:color="FFFFFF"/>
            </w:tcBorders>
            <w:shd w:val="clear" w:color="auto" w:fill="1F3E6E"/>
          </w:tcPr>
          <w:p w14:paraId="2D6C448F" w14:textId="77777777" w:rsidR="0008785D" w:rsidRDefault="00000000">
            <w:pPr>
              <w:jc w:val="center"/>
            </w:pPr>
            <w:r>
              <w:rPr>
                <w:b/>
                <w:color w:val="FFFFFF"/>
                <w:sz w:val="19"/>
              </w:rPr>
              <w:t>Competency Indicator</w:t>
            </w:r>
          </w:p>
        </w:tc>
      </w:tr>
      <w:tr w:rsidR="0008785D" w14:paraId="0469EBC8"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6186843E" w14:textId="77777777" w:rsidR="0008785D" w:rsidRDefault="00000000">
            <w:pPr>
              <w:jc w:val="center"/>
            </w:pPr>
            <w:r>
              <w:rPr>
                <w:sz w:val="18"/>
              </w:rPr>
              <w:t>1</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008C2AF3" w14:textId="77777777" w:rsidR="0008785D" w:rsidRDefault="00000000">
            <w:r>
              <w:rPr>
                <w:sz w:val="18"/>
              </w:rPr>
              <w:t>The Learner and Learning</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1C585963" w14:textId="77777777" w:rsidR="0008785D" w:rsidRDefault="00000000">
            <w:r>
              <w:rPr>
                <w:sz w:val="18"/>
              </w:rPr>
              <w:t>Demonstrate understanding of the principles of student development.</w:t>
            </w:r>
          </w:p>
        </w:tc>
      </w:tr>
      <w:tr w:rsidR="0008785D" w14:paraId="47F8C6D2"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6E871B34" w14:textId="77777777" w:rsidR="0008785D" w:rsidRDefault="00000000">
            <w:pPr>
              <w:jc w:val="center"/>
            </w:pPr>
            <w:r>
              <w:rPr>
                <w:sz w:val="18"/>
              </w:rPr>
              <w:t>2</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502B7D48" w14:textId="77777777" w:rsidR="0008785D" w:rsidRDefault="00000000">
            <w:r>
              <w:rPr>
                <w:sz w:val="18"/>
              </w:rPr>
              <w:t>The Learner and Learning</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2F721E15" w14:textId="77777777" w:rsidR="0008785D" w:rsidRDefault="00000000">
            <w:r>
              <w:rPr>
                <w:sz w:val="18"/>
              </w:rPr>
              <w:t>Adapt teaching to differences in learning.</w:t>
            </w:r>
          </w:p>
        </w:tc>
      </w:tr>
      <w:tr w:rsidR="0008785D" w14:paraId="1AE2D7D3"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2DF05329" w14:textId="77777777" w:rsidR="0008785D" w:rsidRDefault="00000000">
            <w:pPr>
              <w:jc w:val="center"/>
            </w:pPr>
            <w:r>
              <w:rPr>
                <w:sz w:val="18"/>
              </w:rPr>
              <w:t>3</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77B322CF" w14:textId="77777777" w:rsidR="0008785D" w:rsidRDefault="00000000">
            <w:r>
              <w:rPr>
                <w:sz w:val="18"/>
              </w:rPr>
              <w:t>The Learner and Learning</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2E4B5404" w14:textId="77777777" w:rsidR="0008785D" w:rsidRDefault="00000000">
            <w:r>
              <w:rPr>
                <w:sz w:val="18"/>
              </w:rPr>
              <w:t>Plan activities that foster a safe and supportive environment for all students.</w:t>
            </w:r>
          </w:p>
        </w:tc>
      </w:tr>
      <w:tr w:rsidR="0008785D" w14:paraId="1C1E08F4"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0B7E803D" w14:textId="77777777" w:rsidR="0008785D" w:rsidRDefault="00000000">
            <w:pPr>
              <w:jc w:val="center"/>
            </w:pPr>
            <w:r>
              <w:rPr>
                <w:sz w:val="18"/>
              </w:rPr>
              <w:t>4</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0F0A5BAF" w14:textId="77777777" w:rsidR="0008785D" w:rsidRDefault="00000000">
            <w:r>
              <w:rPr>
                <w:sz w:val="18"/>
              </w:rPr>
              <w:t>Content Knowledge</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1B6C12E8" w14:textId="77777777" w:rsidR="0008785D" w:rsidRDefault="00000000">
            <w:r>
              <w:rPr>
                <w:sz w:val="18"/>
              </w:rPr>
              <w:t>Apply and clearly explain the key concepts of their discipline.</w:t>
            </w:r>
          </w:p>
        </w:tc>
      </w:tr>
      <w:tr w:rsidR="0008785D" w14:paraId="6D198F80"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474A34BC" w14:textId="77777777" w:rsidR="0008785D" w:rsidRDefault="00000000">
            <w:pPr>
              <w:jc w:val="center"/>
            </w:pPr>
            <w:r>
              <w:rPr>
                <w:sz w:val="18"/>
              </w:rPr>
              <w:t>5</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04D5DDB4" w14:textId="77777777" w:rsidR="0008785D" w:rsidRDefault="00000000">
            <w:r>
              <w:rPr>
                <w:sz w:val="18"/>
              </w:rPr>
              <w:t>Content Knowledge</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1BA6E7DB" w14:textId="77777777" w:rsidR="0008785D" w:rsidRDefault="00000000">
            <w:r>
              <w:rPr>
                <w:sz w:val="18"/>
              </w:rPr>
              <w:t>Integrate interdisciplinary knowledge to enrich learning.</w:t>
            </w:r>
          </w:p>
        </w:tc>
      </w:tr>
      <w:tr w:rsidR="0008785D" w14:paraId="2BADBC06"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08A324A1" w14:textId="77777777" w:rsidR="0008785D" w:rsidRDefault="00000000">
            <w:pPr>
              <w:jc w:val="center"/>
            </w:pPr>
            <w:r>
              <w:rPr>
                <w:sz w:val="18"/>
              </w:rPr>
              <w:t>6</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75C0E304" w14:textId="77777777" w:rsidR="0008785D" w:rsidRDefault="00000000">
            <w:r>
              <w:rPr>
                <w:sz w:val="18"/>
              </w:rPr>
              <w:t>Instructional Practice</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03D208F1" w14:textId="77777777" w:rsidR="0008785D" w:rsidRDefault="00000000">
            <w:r>
              <w:rPr>
                <w:sz w:val="18"/>
              </w:rPr>
              <w:t>Use evidence-based instructional strategies.</w:t>
            </w:r>
          </w:p>
        </w:tc>
      </w:tr>
      <w:tr w:rsidR="0008785D" w14:paraId="041BD52D"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43130E0B" w14:textId="77777777" w:rsidR="0008785D" w:rsidRDefault="00000000">
            <w:pPr>
              <w:jc w:val="center"/>
            </w:pPr>
            <w:r>
              <w:rPr>
                <w:sz w:val="18"/>
              </w:rPr>
              <w:t>7</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4D0E89FF" w14:textId="77777777" w:rsidR="0008785D" w:rsidRDefault="00000000">
            <w:r>
              <w:rPr>
                <w:sz w:val="18"/>
              </w:rPr>
              <w:t>Instructional Practice</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41D0D8D9" w14:textId="77777777" w:rsidR="0008785D" w:rsidRDefault="00000000">
            <w:r>
              <w:rPr>
                <w:sz w:val="18"/>
              </w:rPr>
              <w:t>Differentiate instruction according to learning needs.</w:t>
            </w:r>
          </w:p>
        </w:tc>
      </w:tr>
      <w:tr w:rsidR="0008785D" w14:paraId="755CF1BD"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3ACDD8BE" w14:textId="77777777" w:rsidR="0008785D" w:rsidRDefault="00000000">
            <w:pPr>
              <w:jc w:val="center"/>
            </w:pPr>
            <w:r>
              <w:rPr>
                <w:sz w:val="18"/>
              </w:rPr>
              <w:t>8</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0600D01C" w14:textId="77777777" w:rsidR="0008785D" w:rsidRDefault="00000000">
            <w:r>
              <w:rPr>
                <w:sz w:val="18"/>
              </w:rPr>
              <w:t>Instructional Practice</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683C88E7" w14:textId="77777777" w:rsidR="0008785D" w:rsidRDefault="00000000">
            <w:r>
              <w:rPr>
                <w:sz w:val="18"/>
              </w:rPr>
              <w:t>Design activities that leverage technology to enhance participation and understanding.</w:t>
            </w:r>
          </w:p>
        </w:tc>
      </w:tr>
      <w:tr w:rsidR="0008785D" w14:paraId="0F37F2A5"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09B2C81D" w14:textId="77777777" w:rsidR="0008785D" w:rsidRDefault="00000000">
            <w:pPr>
              <w:jc w:val="center"/>
            </w:pPr>
            <w:r>
              <w:rPr>
                <w:sz w:val="18"/>
              </w:rPr>
              <w:t>9</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2AB3BBF4" w14:textId="77777777" w:rsidR="0008785D" w:rsidRDefault="00000000">
            <w:r>
              <w:rPr>
                <w:sz w:val="18"/>
              </w:rPr>
              <w:t>Professional Responsibility and Ethics</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4C3E5B0D" w14:textId="77777777" w:rsidR="0008785D" w:rsidRDefault="00000000">
            <w:r>
              <w:rPr>
                <w:sz w:val="18"/>
              </w:rPr>
              <w:t>Comply with ethical and regulatory standards in professional practice as teachers.</w:t>
            </w:r>
          </w:p>
        </w:tc>
      </w:tr>
      <w:tr w:rsidR="0008785D" w14:paraId="39CB7CC8"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70644D26" w14:textId="77777777" w:rsidR="0008785D" w:rsidRDefault="00000000">
            <w:pPr>
              <w:jc w:val="center"/>
            </w:pPr>
            <w:r>
              <w:rPr>
                <w:sz w:val="18"/>
              </w:rPr>
              <w:t>10</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52F0A742" w14:textId="77777777" w:rsidR="0008785D" w:rsidRDefault="00000000">
            <w:r>
              <w:rPr>
                <w:sz w:val="18"/>
              </w:rPr>
              <w:t>Collaboration</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754D83F0" w14:textId="77777777" w:rsidR="0008785D" w:rsidRDefault="00000000">
            <w:r>
              <w:rPr>
                <w:sz w:val="18"/>
              </w:rPr>
              <w:t>Collaborate effectively with colleagues.</w:t>
            </w:r>
          </w:p>
        </w:tc>
      </w:tr>
      <w:tr w:rsidR="0008785D" w14:paraId="7EA816B2"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4E7EE264" w14:textId="77777777" w:rsidR="0008785D" w:rsidRDefault="00000000">
            <w:pPr>
              <w:jc w:val="center"/>
            </w:pPr>
            <w:r>
              <w:rPr>
                <w:sz w:val="18"/>
              </w:rPr>
              <w:t>11</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74BFF915" w14:textId="77777777" w:rsidR="0008785D" w:rsidRDefault="00000000">
            <w:r>
              <w:rPr>
                <w:sz w:val="18"/>
              </w:rPr>
              <w:t>Collaboration</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03C383E8" w14:textId="77777777" w:rsidR="0008785D" w:rsidRDefault="00000000">
            <w:r>
              <w:rPr>
                <w:sz w:val="18"/>
              </w:rPr>
              <w:t>Collaborate effectively with families and the community.</w:t>
            </w:r>
          </w:p>
        </w:tc>
      </w:tr>
      <w:tr w:rsidR="0008785D" w14:paraId="4D519632"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117BAC71" w14:textId="77777777" w:rsidR="0008785D" w:rsidRDefault="00000000">
            <w:pPr>
              <w:jc w:val="center"/>
            </w:pPr>
            <w:r>
              <w:rPr>
                <w:sz w:val="18"/>
              </w:rPr>
              <w:t>12</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5093359B" w14:textId="77777777" w:rsidR="0008785D" w:rsidRDefault="00000000">
            <w:r>
              <w:rPr>
                <w:sz w:val="18"/>
              </w:rPr>
              <w:t>Learning Environment</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3A7C4AE2" w14:textId="77777777" w:rsidR="0008785D" w:rsidRDefault="00000000">
            <w:r>
              <w:rPr>
                <w:sz w:val="18"/>
              </w:rPr>
              <w:t>Establish and maintain an organized and respectful classroom environment.</w:t>
            </w:r>
          </w:p>
        </w:tc>
      </w:tr>
      <w:tr w:rsidR="0008785D" w14:paraId="1818E301"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4DFBCAB0" w14:textId="77777777" w:rsidR="0008785D" w:rsidRDefault="00000000">
            <w:pPr>
              <w:jc w:val="center"/>
            </w:pPr>
            <w:r>
              <w:rPr>
                <w:sz w:val="18"/>
              </w:rPr>
              <w:t>13</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4F9BA990" w14:textId="77777777" w:rsidR="0008785D" w:rsidRDefault="00000000">
            <w:r>
              <w:rPr>
                <w:sz w:val="18"/>
              </w:rPr>
              <w:t>Assessment</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21C4DB2C" w14:textId="77777777" w:rsidR="0008785D" w:rsidRDefault="00000000">
            <w:r>
              <w:rPr>
                <w:sz w:val="18"/>
              </w:rPr>
              <w:t>Use formative assessment strategies to guide instruction.</w:t>
            </w:r>
          </w:p>
        </w:tc>
      </w:tr>
      <w:tr w:rsidR="0008785D" w14:paraId="59E40B1A"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0DC963CD" w14:textId="77777777" w:rsidR="0008785D" w:rsidRDefault="00000000">
            <w:pPr>
              <w:jc w:val="center"/>
            </w:pPr>
            <w:r>
              <w:rPr>
                <w:sz w:val="18"/>
              </w:rPr>
              <w:t>14</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02065910" w14:textId="77777777" w:rsidR="0008785D" w:rsidRDefault="00000000">
            <w:r>
              <w:rPr>
                <w:sz w:val="18"/>
              </w:rPr>
              <w:t>Assessment</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48936705" w14:textId="77777777" w:rsidR="0008785D" w:rsidRDefault="00000000">
            <w:r>
              <w:rPr>
                <w:sz w:val="18"/>
              </w:rPr>
              <w:t>Analyze academic data and qualitative observations to adjust practices.</w:t>
            </w:r>
          </w:p>
        </w:tc>
      </w:tr>
      <w:tr w:rsidR="0008785D" w14:paraId="18E83BD7"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1C8ABE96" w14:textId="77777777" w:rsidR="0008785D" w:rsidRDefault="00000000">
            <w:pPr>
              <w:jc w:val="center"/>
            </w:pPr>
            <w:r>
              <w:rPr>
                <w:sz w:val="18"/>
              </w:rPr>
              <w:t>15</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11BE47AD" w14:textId="77777777" w:rsidR="0008785D" w:rsidRDefault="00000000">
            <w:r>
              <w:rPr>
                <w:sz w:val="18"/>
              </w:rPr>
              <w:t>Professional Learning and Reflection</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4BD080C1" w14:textId="77777777" w:rsidR="0008785D" w:rsidRDefault="00000000">
            <w:r>
              <w:rPr>
                <w:sz w:val="18"/>
              </w:rPr>
              <w:t>Reflect critically on their daily performance to improve teaching.</w:t>
            </w:r>
          </w:p>
        </w:tc>
      </w:tr>
      <w:tr w:rsidR="0008785D" w14:paraId="03C90417"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204C64C6" w14:textId="77777777" w:rsidR="0008785D" w:rsidRDefault="00000000">
            <w:pPr>
              <w:jc w:val="center"/>
            </w:pPr>
            <w:r>
              <w:rPr>
                <w:sz w:val="18"/>
              </w:rPr>
              <w:t>16</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2DC2C637" w14:textId="77777777" w:rsidR="0008785D" w:rsidRDefault="00000000">
            <w:r>
              <w:rPr>
                <w:sz w:val="18"/>
              </w:rPr>
              <w:t>Professional Learning and Reflection</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243AEDFF" w14:textId="77777777" w:rsidR="0008785D" w:rsidRDefault="00000000">
            <w:r>
              <w:rPr>
                <w:sz w:val="18"/>
              </w:rPr>
              <w:t>Actively seek opportunities for continuous learning.</w:t>
            </w:r>
          </w:p>
        </w:tc>
      </w:tr>
      <w:tr w:rsidR="0008785D" w14:paraId="17FB742C"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51AE9F86" w14:textId="77777777" w:rsidR="0008785D" w:rsidRDefault="00000000">
            <w:pPr>
              <w:jc w:val="center"/>
            </w:pPr>
            <w:r>
              <w:rPr>
                <w:sz w:val="18"/>
              </w:rPr>
              <w:t>17</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332AC839" w14:textId="77777777" w:rsidR="0008785D" w:rsidRDefault="00000000">
            <w:r>
              <w:rPr>
                <w:sz w:val="18"/>
              </w:rPr>
              <w:t>Professional Learning and Reflection</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0B5005CE" w14:textId="77777777" w:rsidR="0008785D" w:rsidRDefault="00000000">
            <w:r>
              <w:rPr>
                <w:sz w:val="18"/>
              </w:rPr>
              <w:t>Apply new knowledge and practices in their classroom.</w:t>
            </w:r>
          </w:p>
        </w:tc>
      </w:tr>
      <w:tr w:rsidR="0008785D" w14:paraId="3EE2DD09"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24A488A3" w14:textId="77777777" w:rsidR="0008785D" w:rsidRDefault="00000000">
            <w:pPr>
              <w:jc w:val="center"/>
            </w:pPr>
            <w:r>
              <w:rPr>
                <w:sz w:val="18"/>
              </w:rPr>
              <w:t>18</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571AA816" w14:textId="77777777" w:rsidR="0008785D" w:rsidRDefault="00000000">
            <w:r>
              <w:rPr>
                <w:sz w:val="18"/>
              </w:rPr>
              <w:t>Leadership and School Culture</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34AF29C9" w14:textId="77777777" w:rsidR="0008785D" w:rsidRDefault="00000000">
            <w:r>
              <w:rPr>
                <w:sz w:val="18"/>
              </w:rPr>
              <w:t>Assume leadership roles in school initiatives.</w:t>
            </w:r>
          </w:p>
        </w:tc>
      </w:tr>
      <w:tr w:rsidR="0008785D" w14:paraId="3F65B240"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20467405" w14:textId="77777777" w:rsidR="0008785D" w:rsidRDefault="00000000">
            <w:pPr>
              <w:jc w:val="center"/>
            </w:pPr>
            <w:r>
              <w:rPr>
                <w:sz w:val="18"/>
              </w:rPr>
              <w:t>19</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49DD9DD0" w14:textId="77777777" w:rsidR="0008785D" w:rsidRDefault="00000000">
            <w:r>
              <w:rPr>
                <w:sz w:val="18"/>
              </w:rPr>
              <w:t>Leadership and School Culture</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55FBFEAA" w14:textId="77777777" w:rsidR="0008785D" w:rsidRDefault="00000000">
            <w:r>
              <w:rPr>
                <w:sz w:val="18"/>
              </w:rPr>
              <w:t>Promote a culture of learning within their institution.</w:t>
            </w:r>
          </w:p>
        </w:tc>
      </w:tr>
      <w:tr w:rsidR="0008785D" w14:paraId="1F680C16"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3B7409B5" w14:textId="77777777" w:rsidR="0008785D" w:rsidRDefault="00000000">
            <w:pPr>
              <w:jc w:val="center"/>
            </w:pPr>
            <w:r>
              <w:rPr>
                <w:sz w:val="18"/>
              </w:rPr>
              <w:t>20</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6DA53107" w14:textId="77777777" w:rsidR="0008785D" w:rsidRDefault="00000000">
            <w:r>
              <w:rPr>
                <w:sz w:val="18"/>
              </w:rPr>
              <w:t>Diversity, Equity, and Inclusion</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7556D64C" w14:textId="77777777" w:rsidR="0008785D" w:rsidRDefault="00000000">
            <w:r>
              <w:rPr>
                <w:sz w:val="18"/>
              </w:rPr>
              <w:t>Integrate inclusive practices that value cultural and linguistic diversity.</w:t>
            </w:r>
          </w:p>
        </w:tc>
      </w:tr>
      <w:tr w:rsidR="0008785D" w14:paraId="4D0AF0B4"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75A45FD0" w14:textId="77777777" w:rsidR="0008785D" w:rsidRDefault="00000000">
            <w:pPr>
              <w:jc w:val="center"/>
            </w:pPr>
            <w:r>
              <w:rPr>
                <w:sz w:val="18"/>
              </w:rPr>
              <w:t>21</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3DFC94C4" w14:textId="77777777" w:rsidR="0008785D" w:rsidRDefault="00000000">
            <w:r>
              <w:rPr>
                <w:sz w:val="18"/>
              </w:rPr>
              <w:t>Diversity, Equity, and Inclusion</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1DE3F3C1" w14:textId="77777777" w:rsidR="0008785D" w:rsidRDefault="00000000">
            <w:r>
              <w:rPr>
                <w:sz w:val="18"/>
              </w:rPr>
              <w:t>Adapt content and assessments to address cognitive and functional diversity.</w:t>
            </w:r>
          </w:p>
        </w:tc>
      </w:tr>
      <w:tr w:rsidR="0008785D" w14:paraId="2E32E3CA"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2F7FC"/>
          </w:tcPr>
          <w:p w14:paraId="37C10F12" w14:textId="77777777" w:rsidR="0008785D" w:rsidRDefault="00000000">
            <w:pPr>
              <w:jc w:val="center"/>
            </w:pPr>
            <w:r>
              <w:rPr>
                <w:sz w:val="18"/>
              </w:rPr>
              <w:t>22</w:t>
            </w:r>
          </w:p>
        </w:tc>
        <w:tc>
          <w:tcPr>
            <w:tcW w:w="3096" w:type="dxa"/>
            <w:tcBorders>
              <w:top w:val="single" w:sz="4" w:space="0" w:color="CCCCCC"/>
              <w:left w:val="single" w:sz="4" w:space="0" w:color="CCCCCC"/>
              <w:bottom w:val="single" w:sz="4" w:space="0" w:color="CCCCCC"/>
              <w:right w:val="single" w:sz="4" w:space="0" w:color="CCCCCC"/>
            </w:tcBorders>
            <w:shd w:val="clear" w:color="auto" w:fill="F2F7FC"/>
          </w:tcPr>
          <w:p w14:paraId="046BEBAD" w14:textId="77777777" w:rsidR="0008785D" w:rsidRDefault="00000000">
            <w:r>
              <w:rPr>
                <w:sz w:val="18"/>
              </w:rPr>
              <w:t>Technology Integration</w:t>
            </w:r>
          </w:p>
        </w:tc>
        <w:tc>
          <w:tcPr>
            <w:tcW w:w="5400" w:type="dxa"/>
            <w:tcBorders>
              <w:top w:val="single" w:sz="4" w:space="0" w:color="CCCCCC"/>
              <w:left w:val="single" w:sz="4" w:space="0" w:color="CCCCCC"/>
              <w:bottom w:val="single" w:sz="4" w:space="0" w:color="CCCCCC"/>
              <w:right w:val="single" w:sz="4" w:space="0" w:color="CCCCCC"/>
            </w:tcBorders>
            <w:shd w:val="clear" w:color="auto" w:fill="F2F7FC"/>
          </w:tcPr>
          <w:p w14:paraId="3B3CFFEC" w14:textId="77777777" w:rsidR="0008785D" w:rsidRDefault="00000000">
            <w:r>
              <w:rPr>
                <w:sz w:val="18"/>
              </w:rPr>
              <w:t>Design activities that leverage technology to enhance participation.</w:t>
            </w:r>
          </w:p>
        </w:tc>
      </w:tr>
      <w:tr w:rsidR="0008785D" w14:paraId="60F16018" w14:textId="77777777">
        <w:trPr>
          <w:jc w:val="center"/>
        </w:trPr>
        <w:tc>
          <w:tcPr>
            <w:tcW w:w="576" w:type="dxa"/>
            <w:tcBorders>
              <w:top w:val="single" w:sz="4" w:space="0" w:color="CCCCCC"/>
              <w:left w:val="single" w:sz="4" w:space="0" w:color="CCCCCC"/>
              <w:bottom w:val="single" w:sz="4" w:space="0" w:color="CCCCCC"/>
              <w:right w:val="single" w:sz="4" w:space="0" w:color="CCCCCC"/>
            </w:tcBorders>
            <w:shd w:val="clear" w:color="auto" w:fill="FFFFFF"/>
          </w:tcPr>
          <w:p w14:paraId="71599B2A" w14:textId="77777777" w:rsidR="0008785D" w:rsidRDefault="00000000">
            <w:pPr>
              <w:jc w:val="center"/>
            </w:pPr>
            <w:r>
              <w:rPr>
                <w:sz w:val="18"/>
              </w:rPr>
              <w:t>23</w:t>
            </w:r>
          </w:p>
        </w:tc>
        <w:tc>
          <w:tcPr>
            <w:tcW w:w="3096" w:type="dxa"/>
            <w:tcBorders>
              <w:top w:val="single" w:sz="4" w:space="0" w:color="CCCCCC"/>
              <w:left w:val="single" w:sz="4" w:space="0" w:color="CCCCCC"/>
              <w:bottom w:val="single" w:sz="4" w:space="0" w:color="CCCCCC"/>
              <w:right w:val="single" w:sz="4" w:space="0" w:color="CCCCCC"/>
            </w:tcBorders>
            <w:shd w:val="clear" w:color="auto" w:fill="FFFFFF"/>
          </w:tcPr>
          <w:p w14:paraId="15A291D9" w14:textId="77777777" w:rsidR="0008785D" w:rsidRDefault="00000000">
            <w:r>
              <w:rPr>
                <w:sz w:val="18"/>
              </w:rPr>
              <w:t>Technology Integration</w:t>
            </w:r>
          </w:p>
        </w:tc>
        <w:tc>
          <w:tcPr>
            <w:tcW w:w="5400" w:type="dxa"/>
            <w:tcBorders>
              <w:top w:val="single" w:sz="4" w:space="0" w:color="CCCCCC"/>
              <w:left w:val="single" w:sz="4" w:space="0" w:color="CCCCCC"/>
              <w:bottom w:val="single" w:sz="4" w:space="0" w:color="CCCCCC"/>
              <w:right w:val="single" w:sz="4" w:space="0" w:color="CCCCCC"/>
            </w:tcBorders>
            <w:shd w:val="clear" w:color="auto" w:fill="FFFFFF"/>
          </w:tcPr>
          <w:p w14:paraId="18C1E16A" w14:textId="77777777" w:rsidR="0008785D" w:rsidRDefault="00000000">
            <w:r>
              <w:rPr>
                <w:sz w:val="18"/>
              </w:rPr>
              <w:t>Evaluate the effectiveness of technological tools and make necessary adjustments.</w:t>
            </w:r>
          </w:p>
        </w:tc>
      </w:tr>
    </w:tbl>
    <w:p w14:paraId="27006897" w14:textId="77777777" w:rsidR="00FF511E" w:rsidRDefault="00FF511E"/>
    <w:sectPr w:rsidR="00FF511E"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AF1D" w14:textId="77777777" w:rsidR="00FF511E" w:rsidRDefault="00FF511E">
      <w:pPr>
        <w:spacing w:after="0" w:line="240" w:lineRule="auto"/>
      </w:pPr>
      <w:r>
        <w:separator/>
      </w:r>
    </w:p>
  </w:endnote>
  <w:endnote w:type="continuationSeparator" w:id="0">
    <w:p w14:paraId="569DED29" w14:textId="77777777" w:rsidR="00FF511E" w:rsidRDefault="00FF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1C4B" w14:textId="77777777" w:rsidR="0008785D" w:rsidRDefault="00000000">
    <w:pPr>
      <w:pStyle w:val="Footer"/>
      <w:jc w:val="center"/>
    </w:pPr>
    <w:r>
      <w:rPr>
        <w:sz w:val="16"/>
      </w:rPr>
      <w:t xml:space="preserve">University of Puerto </w:t>
    </w:r>
    <w:proofErr w:type="gramStart"/>
    <w:r>
      <w:rPr>
        <w:sz w:val="16"/>
      </w:rPr>
      <w:t>Rico  |</w:t>
    </w:r>
    <w:proofErr w:type="gramEnd"/>
    <w:r>
      <w:rPr>
        <w:sz w:val="16"/>
      </w:rPr>
      <w:t xml:space="preserve">  Teacher Preparation Program (</w:t>
    </w:r>
    <w:proofErr w:type="gramStart"/>
    <w:r>
      <w:rPr>
        <w:sz w:val="16"/>
      </w:rPr>
      <w:t>PPM)  |</w:t>
    </w:r>
    <w:proofErr w:type="gramEnd"/>
    <w:r>
      <w:rPr>
        <w:sz w:val="16"/>
      </w:rPr>
      <w:t xml:space="preserve">  CAEP Employer Survey </w:t>
    </w:r>
    <w:proofErr w:type="gramStart"/>
    <w:r>
      <w:rPr>
        <w:sz w:val="16"/>
      </w:rPr>
      <w:t>Report  |</w:t>
    </w:r>
    <w:proofErr w:type="gramEnd"/>
    <w:r>
      <w:rPr>
        <w:sz w:val="16"/>
      </w:rPr>
      <w:t xml:space="preserve">  AY 2024–</w:t>
    </w:r>
    <w:proofErr w:type="gramStart"/>
    <w:r>
      <w:rPr>
        <w:sz w:val="16"/>
      </w:rPr>
      <w:t>2025  |</w:t>
    </w:r>
    <w:proofErr w:type="gramEnd"/>
    <w:r>
      <w:rPr>
        <w:sz w:val="16"/>
      </w:rPr>
      <w:t xml:space="preserve">  Anonymous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9221" w14:textId="77777777" w:rsidR="00FF511E" w:rsidRDefault="00FF511E">
      <w:pPr>
        <w:spacing w:after="0" w:line="240" w:lineRule="auto"/>
      </w:pPr>
      <w:r>
        <w:separator/>
      </w:r>
    </w:p>
  </w:footnote>
  <w:footnote w:type="continuationSeparator" w:id="0">
    <w:p w14:paraId="61C00955" w14:textId="77777777" w:rsidR="00FF511E" w:rsidRDefault="00FF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551CB"/>
    <w:multiLevelType w:val="multilevel"/>
    <w:tmpl w:val="473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396092">
    <w:abstractNumId w:val="8"/>
  </w:num>
  <w:num w:numId="2" w16cid:durableId="1603755506">
    <w:abstractNumId w:val="6"/>
  </w:num>
  <w:num w:numId="3" w16cid:durableId="625238016">
    <w:abstractNumId w:val="5"/>
  </w:num>
  <w:num w:numId="4" w16cid:durableId="200944033">
    <w:abstractNumId w:val="4"/>
  </w:num>
  <w:num w:numId="5" w16cid:durableId="398137686">
    <w:abstractNumId w:val="7"/>
  </w:num>
  <w:num w:numId="6" w16cid:durableId="1190797601">
    <w:abstractNumId w:val="3"/>
  </w:num>
  <w:num w:numId="7" w16cid:durableId="506478368">
    <w:abstractNumId w:val="2"/>
  </w:num>
  <w:num w:numId="8" w16cid:durableId="887179005">
    <w:abstractNumId w:val="1"/>
  </w:num>
  <w:num w:numId="9" w16cid:durableId="1999461177">
    <w:abstractNumId w:val="0"/>
  </w:num>
  <w:num w:numId="10" w16cid:durableId="174268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85D"/>
    <w:rsid w:val="0015074B"/>
    <w:rsid w:val="0029639D"/>
    <w:rsid w:val="00302C4D"/>
    <w:rsid w:val="00326F90"/>
    <w:rsid w:val="003C6C0D"/>
    <w:rsid w:val="004A2928"/>
    <w:rsid w:val="008C0EC9"/>
    <w:rsid w:val="00997833"/>
    <w:rsid w:val="00AA1D8D"/>
    <w:rsid w:val="00AF574A"/>
    <w:rsid w:val="00B47730"/>
    <w:rsid w:val="00B52162"/>
    <w:rsid w:val="00CB0664"/>
    <w:rsid w:val="00CD241B"/>
    <w:rsid w:val="00DA6C22"/>
    <w:rsid w:val="00E1214D"/>
    <w:rsid w:val="00E4638A"/>
    <w:rsid w:val="00FC693F"/>
    <w:rsid w:val="00FF5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25432"/>
  <w14:defaultImageDpi w14:val="300"/>
  <w15:docId w15:val="{30B64F55-F8C0-CB4A-B69C-44B62BD4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404040"/>
    </w:rPr>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b/>
      <w:bCs/>
      <w:color w:val="1F3E6E"/>
      <w:sz w:val="32"/>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b/>
      <w:bCs/>
      <w:color w:val="2E75B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97833"/>
    <w:pPr>
      <w:spacing w:before="100" w:beforeAutospacing="1" w:after="100" w:afterAutospacing="1" w:line="240" w:lineRule="auto"/>
    </w:pPr>
    <w:rPr>
      <w:rFonts w:ascii="Times New Roman" w:eastAsia="Times New Roman" w:hAnsi="Times New Roman" w:cs="Times New Roman"/>
      <w:color w:val="auto"/>
      <w:sz w:val="24"/>
      <w:szCs w:val="24"/>
      <w:lang w:val="en-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2836</Words>
  <Characters>18126</Characters>
  <Application>Microsoft Office Word</Application>
  <DocSecurity>0</DocSecurity>
  <Lines>584</Lines>
  <Paragraphs>499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Janette Ferrer Montes</cp:lastModifiedBy>
  <cp:revision>8</cp:revision>
  <dcterms:created xsi:type="dcterms:W3CDTF">2026-04-13T13:47:00Z</dcterms:created>
  <dcterms:modified xsi:type="dcterms:W3CDTF">2026-04-13T14:25:00Z</dcterms:modified>
  <cp:category/>
</cp:coreProperties>
</file>