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8EEE" w14:textId="77777777" w:rsidR="006052A5" w:rsidRDefault="006052A5">
      <w:pPr>
        <w:spacing w:before="40" w:after="40"/>
      </w:pPr>
    </w:p>
    <w:p w14:paraId="7E38E89E" w14:textId="77777777" w:rsidR="006052A5" w:rsidRDefault="006052A5">
      <w:pPr>
        <w:spacing w:before="40" w:after="40"/>
      </w:pPr>
    </w:p>
    <w:p w14:paraId="68410363" w14:textId="77777777" w:rsidR="006052A5" w:rsidRDefault="006052A5">
      <w:pPr>
        <w:spacing w:before="40" w:after="40"/>
      </w:pPr>
    </w:p>
    <w:p w14:paraId="212BCEE6" w14:textId="77777777" w:rsidR="006052A5" w:rsidRDefault="006052A5">
      <w:pPr>
        <w:spacing w:before="40" w:after="40"/>
      </w:pPr>
    </w:p>
    <w:p w14:paraId="28AD108B" w14:textId="77777777" w:rsidR="006052A5" w:rsidRDefault="006052A5">
      <w:pPr>
        <w:spacing w:before="40" w:after="40"/>
      </w:pPr>
    </w:p>
    <w:p w14:paraId="126066D0" w14:textId="77777777" w:rsidR="006052A5" w:rsidRDefault="00000000">
      <w:pPr>
        <w:spacing w:after="200"/>
        <w:jc w:val="center"/>
      </w:pPr>
      <w:r>
        <w:rPr>
          <w:b/>
          <w:bCs/>
          <w:color w:val="2E75B6"/>
          <w:sz w:val="22"/>
          <w:szCs w:val="22"/>
        </w:rPr>
        <w:t>INFORME 1: COMPLETERS (EXIT SURVEY)</w:t>
      </w:r>
    </w:p>
    <w:p w14:paraId="1754E386" w14:textId="77777777" w:rsidR="006052A5" w:rsidRDefault="006052A5">
      <w:pPr>
        <w:spacing w:before="40" w:after="40"/>
      </w:pPr>
    </w:p>
    <w:p w14:paraId="2EA95ABB" w14:textId="77777777" w:rsidR="006052A5" w:rsidRDefault="00000000">
      <w:pPr>
        <w:spacing w:after="100"/>
        <w:jc w:val="center"/>
      </w:pPr>
      <w:r>
        <w:rPr>
          <w:b/>
          <w:bCs/>
          <w:color w:val="1F3864"/>
          <w:sz w:val="40"/>
          <w:szCs w:val="40"/>
        </w:rPr>
        <w:t>CAEP Completer Survey Report</w:t>
      </w:r>
    </w:p>
    <w:p w14:paraId="320A839D" w14:textId="77777777" w:rsidR="006052A5" w:rsidRDefault="00000000">
      <w:pPr>
        <w:spacing w:after="80"/>
        <w:jc w:val="center"/>
      </w:pPr>
      <w:r>
        <w:rPr>
          <w:color w:val="2E75B6"/>
          <w:sz w:val="28"/>
          <w:szCs w:val="28"/>
        </w:rPr>
        <w:t>(Exit Survey)</w:t>
      </w:r>
    </w:p>
    <w:p w14:paraId="5867E30B" w14:textId="77777777" w:rsidR="006052A5" w:rsidRDefault="006052A5">
      <w:pPr>
        <w:spacing w:before="40" w:after="40"/>
      </w:pPr>
    </w:p>
    <w:p w14:paraId="247E0200" w14:textId="77777777" w:rsidR="006052A5" w:rsidRDefault="006052A5">
      <w:pPr>
        <w:pBdr>
          <w:bottom w:val="single" w:sz="6" w:space="1" w:color="2E75B6"/>
        </w:pBdr>
        <w:jc w:val="center"/>
      </w:pPr>
    </w:p>
    <w:p w14:paraId="111F8E26" w14:textId="77777777" w:rsidR="006052A5" w:rsidRDefault="006052A5">
      <w:pPr>
        <w:spacing w:before="40" w:after="40"/>
      </w:pPr>
    </w:p>
    <w:p w14:paraId="029CFA9C" w14:textId="77777777" w:rsidR="006052A5" w:rsidRDefault="00000000">
      <w:pPr>
        <w:spacing w:after="80"/>
        <w:jc w:val="center"/>
      </w:pPr>
      <w:r>
        <w:rPr>
          <w:color w:val="404040"/>
          <w:sz w:val="24"/>
          <w:szCs w:val="24"/>
        </w:rPr>
        <w:t>Teacher Preparation Program (PPM)</w:t>
      </w:r>
    </w:p>
    <w:p w14:paraId="5B46EBFE" w14:textId="77777777" w:rsidR="006052A5" w:rsidRDefault="00000000">
      <w:pPr>
        <w:spacing w:after="80"/>
        <w:jc w:val="center"/>
      </w:pPr>
      <w:r>
        <w:rPr>
          <w:color w:val="404040"/>
          <w:sz w:val="24"/>
          <w:szCs w:val="24"/>
        </w:rPr>
        <w:t>University of Puerto Rico at Mayagüez</w:t>
      </w:r>
    </w:p>
    <w:p w14:paraId="4AD84764" w14:textId="77777777" w:rsidR="006052A5" w:rsidRDefault="006052A5">
      <w:pPr>
        <w:spacing w:before="40" w:after="40"/>
      </w:pPr>
    </w:p>
    <w:p w14:paraId="6637A92F" w14:textId="77777777" w:rsidR="006052A5" w:rsidRDefault="00000000">
      <w:pPr>
        <w:spacing w:after="80"/>
        <w:jc w:val="center"/>
      </w:pPr>
      <w:r>
        <w:rPr>
          <w:b/>
          <w:bCs/>
          <w:color w:val="1F3864"/>
          <w:sz w:val="24"/>
          <w:szCs w:val="24"/>
        </w:rPr>
        <w:t>Academic Year 2024–2025</w:t>
      </w:r>
    </w:p>
    <w:p w14:paraId="00625276" w14:textId="77777777" w:rsidR="006052A5" w:rsidRDefault="006052A5">
      <w:pPr>
        <w:spacing w:before="40" w:after="40"/>
      </w:pPr>
    </w:p>
    <w:p w14:paraId="570218EF" w14:textId="77777777" w:rsidR="006052A5" w:rsidRDefault="006052A5">
      <w:pPr>
        <w:spacing w:before="40" w:after="40"/>
      </w:pPr>
    </w:p>
    <w:p w14:paraId="06837F24" w14:textId="77777777" w:rsidR="006052A5" w:rsidRDefault="006052A5">
      <w:pPr>
        <w:spacing w:before="40" w:after="40"/>
      </w:pPr>
    </w:p>
    <w:p w14:paraId="7DB142AB" w14:textId="77777777" w:rsidR="006052A5" w:rsidRDefault="00000000">
      <w:pPr>
        <w:spacing w:after="40"/>
        <w:jc w:val="center"/>
      </w:pPr>
      <w:r>
        <w:rPr>
          <w:i/>
          <w:iCs/>
          <w:color w:val="404040"/>
          <w:sz w:val="18"/>
          <w:szCs w:val="18"/>
        </w:rPr>
        <w:t>Prepared for the Council for the Accreditation of Educator Preparation (CAEP)</w:t>
      </w:r>
    </w:p>
    <w:p w14:paraId="14579BFA" w14:textId="77777777" w:rsidR="006052A5" w:rsidRDefault="00000000">
      <w:pPr>
        <w:spacing w:after="40"/>
        <w:jc w:val="center"/>
      </w:pPr>
      <w:r>
        <w:rPr>
          <w:i/>
          <w:iCs/>
          <w:color w:val="404040"/>
          <w:sz w:val="18"/>
          <w:szCs w:val="18"/>
        </w:rPr>
        <w:t>Aligned with CAEP Standards 1 and 4</w:t>
      </w:r>
    </w:p>
    <w:p w14:paraId="0007710F" w14:textId="77777777" w:rsidR="006052A5" w:rsidRDefault="00000000">
      <w:pPr>
        <w:jc w:val="center"/>
      </w:pPr>
      <w:r>
        <w:rPr>
          <w:i/>
          <w:iCs/>
          <w:color w:val="2E75B6"/>
          <w:sz w:val="18"/>
          <w:szCs w:val="18"/>
        </w:rPr>
        <w:t>All data reported anonymously</w:t>
      </w:r>
    </w:p>
    <w:p w14:paraId="3888F882" w14:textId="77777777" w:rsidR="006052A5" w:rsidRDefault="006052A5">
      <w:pPr>
        <w:sectPr w:rsidR="006052A5">
          <w:pgSz w:w="12240" w:h="15840"/>
          <w:pgMar w:top="1440" w:right="1440" w:bottom="1440" w:left="1440" w:header="708" w:footer="708" w:gutter="0"/>
          <w:cols w:space="720"/>
          <w:docGrid w:linePitch="360"/>
        </w:sectPr>
      </w:pPr>
    </w:p>
    <w:p w14:paraId="79B26592" w14:textId="77777777" w:rsidR="006052A5" w:rsidRDefault="00000000">
      <w:pPr>
        <w:pStyle w:val="Heading1"/>
      </w:pPr>
      <w:r>
        <w:lastRenderedPageBreak/>
        <w:t>Executive Summary</w:t>
      </w:r>
    </w:p>
    <w:p w14:paraId="4BEF916B" w14:textId="77777777" w:rsidR="006052A5" w:rsidRDefault="00000000">
      <w:pPr>
        <w:spacing w:before="80" w:after="80" w:line="276" w:lineRule="auto"/>
      </w:pPr>
      <w:r>
        <w:rPr>
          <w:color w:val="404040"/>
        </w:rPr>
        <w:t>This report presents findings from the Exit Survey administered to 25 graduating candidates (completers) in the Teacher Preparation Program (PPM) at the University of Puerto Rico at Mayagüez during Academic Year 2024–2025. The instrument evaluates candidate perceptions of their preparation across key domains aligned with CAEP Standard 1 (Content and Pedagogical Knowledge) and Standard 4 (Program Impact). All data are reported anonymously to protect completer identity.</w:t>
      </w:r>
    </w:p>
    <w:p w14:paraId="40AA879E" w14:textId="77777777" w:rsidR="006052A5" w:rsidRDefault="006052A5">
      <w:pPr>
        <w:spacing w:before="40" w:after="40"/>
      </w:pPr>
    </w:p>
    <w:p w14:paraId="692198C1" w14:textId="77777777" w:rsidR="006052A5" w:rsidRDefault="00000000">
      <w:pPr>
        <w:spacing w:before="200" w:after="120"/>
      </w:pPr>
      <w:r>
        <w:rPr>
          <w:b/>
          <w:bCs/>
          <w:color w:val="1F3864"/>
          <w:sz w:val="22"/>
          <w:szCs w:val="22"/>
        </w:rPr>
        <w:t>Key Metrics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052A5" w14:paraId="214B006F" w14:textId="77777777">
        <w:tblPrEx>
          <w:tblCellMar>
            <w:top w:w="0" w:type="dxa"/>
            <w:bottom w:w="0" w:type="dxa"/>
          </w:tblCellMar>
        </w:tblPrEx>
        <w:tc>
          <w:tcPr>
            <w:tcW w:w="4680" w:type="dxa"/>
            <w:tcMar>
              <w:top w:w="60" w:type="dxa"/>
              <w:left w:w="100" w:type="dxa"/>
              <w:bottom w:w="60" w:type="dxa"/>
              <w:right w:w="100" w:type="dxa"/>
            </w:tcMar>
          </w:tcPr>
          <w:p w14:paraId="48EE1495" w14:textId="77777777" w:rsidR="006052A5" w:rsidRDefault="00000000">
            <w:r>
              <w:rPr>
                <w:color w:val="404040"/>
              </w:rPr>
              <w:t xml:space="preserve">Sample size: </w:t>
            </w:r>
            <w:r>
              <w:rPr>
                <w:b/>
                <w:bCs/>
                <w:color w:val="1F3864"/>
              </w:rPr>
              <w:t>n = 25 completers</w:t>
            </w:r>
          </w:p>
        </w:tc>
        <w:tc>
          <w:tcPr>
            <w:tcW w:w="4680" w:type="dxa"/>
            <w:tcMar>
              <w:top w:w="60" w:type="dxa"/>
              <w:left w:w="100" w:type="dxa"/>
              <w:bottom w:w="60" w:type="dxa"/>
              <w:right w:w="100" w:type="dxa"/>
            </w:tcMar>
          </w:tcPr>
          <w:p w14:paraId="70986441" w14:textId="77777777" w:rsidR="006052A5" w:rsidRDefault="00000000">
            <w:r>
              <w:rPr>
                <w:color w:val="404040"/>
              </w:rPr>
              <w:t xml:space="preserve">Overall mean: </w:t>
            </w:r>
            <w:r>
              <w:rPr>
                <w:b/>
                <w:bCs/>
                <w:color w:val="1F3864"/>
              </w:rPr>
              <w:t>3.87 / 4.00</w:t>
            </w:r>
          </w:p>
        </w:tc>
      </w:tr>
      <w:tr w:rsidR="006052A5" w14:paraId="0EF09789" w14:textId="77777777">
        <w:tblPrEx>
          <w:tblCellMar>
            <w:top w:w="0" w:type="dxa"/>
            <w:bottom w:w="0" w:type="dxa"/>
          </w:tblCellMar>
        </w:tblPrEx>
        <w:tc>
          <w:tcPr>
            <w:tcW w:w="4680" w:type="dxa"/>
            <w:tcMar>
              <w:top w:w="60" w:type="dxa"/>
              <w:left w:w="100" w:type="dxa"/>
              <w:bottom w:w="60" w:type="dxa"/>
              <w:right w:w="100" w:type="dxa"/>
            </w:tcMar>
          </w:tcPr>
          <w:p w14:paraId="555C6EAD" w14:textId="77777777" w:rsidR="006052A5" w:rsidRDefault="00000000">
            <w:r>
              <w:rPr>
                <w:color w:val="404040"/>
              </w:rPr>
              <w:t xml:space="preserve">Acceptable level (≥3): </w:t>
            </w:r>
            <w:r>
              <w:rPr>
                <w:b/>
                <w:bCs/>
                <w:color w:val="1F3864"/>
              </w:rPr>
              <w:t>99.2%</w:t>
            </w:r>
          </w:p>
        </w:tc>
        <w:tc>
          <w:tcPr>
            <w:tcW w:w="4680" w:type="dxa"/>
            <w:tcMar>
              <w:top w:w="60" w:type="dxa"/>
              <w:left w:w="100" w:type="dxa"/>
              <w:bottom w:w="60" w:type="dxa"/>
              <w:right w:w="100" w:type="dxa"/>
            </w:tcMar>
          </w:tcPr>
          <w:p w14:paraId="560EC035" w14:textId="77777777" w:rsidR="006052A5" w:rsidRDefault="00000000">
            <w:r>
              <w:rPr>
                <w:color w:val="404040"/>
              </w:rPr>
              <w:t xml:space="preserve">Response rate: </w:t>
            </w:r>
            <w:r>
              <w:rPr>
                <w:b/>
                <w:bCs/>
                <w:color w:val="1F3864"/>
              </w:rPr>
              <w:t>25 of 25 (100%)</w:t>
            </w:r>
          </w:p>
        </w:tc>
      </w:tr>
    </w:tbl>
    <w:p w14:paraId="3EF213EC" w14:textId="77777777" w:rsidR="006052A5" w:rsidRDefault="006052A5">
      <w:pPr>
        <w:spacing w:before="40" w:after="40"/>
      </w:pPr>
    </w:p>
    <w:p w14:paraId="67F32491" w14:textId="7AB7C348" w:rsidR="006052A5" w:rsidRDefault="009B7BEB">
      <w:pPr>
        <w:spacing w:before="80" w:after="80" w:line="276" w:lineRule="auto"/>
      </w:pPr>
      <w:r>
        <w:t>Findings indicate that completers generally meet or exceed expected levels of preparation across all domains, with particularly strong results in learning environment and relationships, respect for learner diversity, professional responsibility, and digital competencies.</w:t>
      </w:r>
      <w:r>
        <w:t xml:space="preserve"> </w:t>
      </w:r>
      <w:r w:rsidR="00000000">
        <w:rPr>
          <w:color w:val="404040"/>
        </w:rPr>
        <w:t>Areas identified for continued strengthening include participation in professional organizations, assessment literacy, special education accommodations, and variability in cooperating teacher feedback.</w:t>
      </w:r>
    </w:p>
    <w:p w14:paraId="75CEB4BA" w14:textId="77777777" w:rsidR="006052A5" w:rsidRDefault="00000000">
      <w:r>
        <w:br w:type="page"/>
      </w:r>
    </w:p>
    <w:p w14:paraId="15F82C8C" w14:textId="77777777" w:rsidR="006052A5" w:rsidRDefault="00000000">
      <w:pPr>
        <w:pStyle w:val="Heading1"/>
      </w:pPr>
      <w:r>
        <w:lastRenderedPageBreak/>
        <w:t>1. Introduction</w:t>
      </w:r>
    </w:p>
    <w:p w14:paraId="6CD1BCC4" w14:textId="5C3C413C" w:rsidR="006052A5" w:rsidRDefault="00000000">
      <w:pPr>
        <w:spacing w:before="80" w:after="80" w:line="276" w:lineRule="auto"/>
      </w:pPr>
      <w:r>
        <w:rPr>
          <w:color w:val="404040"/>
        </w:rPr>
        <w:t>The Exit Survey is a key component of the EPP’s Quality Assurance System (QAS) and provides direct evidence of candidate perceptions of readiness at program completion. This instrument is aligned with CAEP Standard 4 (Program Impact) and supports evidence collection for Standard 1 (Content and Pedagogical Knowledge). The survey was administered to all 25 candidates completing the program during Academic Year 2024–2025.</w:t>
      </w:r>
      <w:r w:rsidR="009B7BEB">
        <w:rPr>
          <w:color w:val="404040"/>
        </w:rPr>
        <w:t xml:space="preserve"> </w:t>
      </w:r>
      <w:r w:rsidR="009B7BEB">
        <w:t>These data represent an initial phase of evidence collection based on completer self-perception and will be strengthened through triangulation with alumni and employer data.</w:t>
      </w:r>
    </w:p>
    <w:p w14:paraId="4543971A" w14:textId="77777777" w:rsidR="006052A5" w:rsidRDefault="00000000">
      <w:pPr>
        <w:spacing w:before="80" w:after="80" w:line="276" w:lineRule="auto"/>
      </w:pPr>
      <w:r>
        <w:rPr>
          <w:color w:val="404040"/>
        </w:rPr>
        <w:t>The purpose of this report is to: (a) document completer perceptions of their professional preparation, (b) identify areas of strength and areas for improvement, (c) provide evidence for continuous improvement aligned with CAEP accreditation requirements, and (d) serve as the first component of a triangulated analysis that will be complemented by an alumni follow-up survey (Informe 2).</w:t>
      </w:r>
    </w:p>
    <w:p w14:paraId="4D088980" w14:textId="77777777" w:rsidR="006052A5" w:rsidRDefault="00000000">
      <w:pPr>
        <w:pStyle w:val="Heading1"/>
      </w:pPr>
      <w:r>
        <w:t>2. Methodology</w:t>
      </w:r>
    </w:p>
    <w:p w14:paraId="5B8FD129" w14:textId="77777777" w:rsidR="006052A5" w:rsidRDefault="00000000">
      <w:pPr>
        <w:pStyle w:val="Heading2"/>
      </w:pPr>
      <w:r>
        <w:t>2.1 Instrument</w:t>
      </w:r>
    </w:p>
    <w:p w14:paraId="3757EDAF" w14:textId="77777777" w:rsidR="006052A5" w:rsidRDefault="00000000">
      <w:pPr>
        <w:spacing w:before="80" w:after="80" w:line="276" w:lineRule="auto"/>
      </w:pPr>
      <w:r>
        <w:rPr>
          <w:color w:val="404040"/>
        </w:rPr>
        <w:t>The Exit Survey consists of 71 Likert-scale items (1 = Not Prepared to 4 = Very Well Prepared) organized across four domains, plus 8 items evaluating program components, and several open-ended and categorical questions. The acceptable performance level is defined as a mean score of 3.00 or higher (≥75% of the scale).</w:t>
      </w:r>
    </w:p>
    <w:p w14:paraId="4346199B" w14:textId="77777777" w:rsidR="006052A5" w:rsidRDefault="00000000">
      <w:pPr>
        <w:pStyle w:val="Heading2"/>
      </w:pPr>
      <w:r>
        <w:t>2.2 Domains and Item Distribution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2340"/>
        <w:gridCol w:w="2340"/>
      </w:tblGrid>
      <w:tr w:rsidR="006052A5" w14:paraId="7B0A0D9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35130A3" w14:textId="77777777" w:rsidR="006052A5" w:rsidRDefault="00000000">
            <w:pPr>
              <w:jc w:val="center"/>
            </w:pPr>
            <w:r>
              <w:rPr>
                <w:b/>
                <w:bCs/>
                <w:color w:val="FFFFFF"/>
                <w:sz w:val="18"/>
                <w:szCs w:val="18"/>
              </w:rPr>
              <w:t>Domain</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CC3DB8C" w14:textId="77777777" w:rsidR="006052A5" w:rsidRDefault="00000000">
            <w:pPr>
              <w:jc w:val="center"/>
            </w:pPr>
            <w:r>
              <w:rPr>
                <w:b/>
                <w:bCs/>
                <w:color w:val="FFFFFF"/>
                <w:sz w:val="18"/>
                <w:szCs w:val="18"/>
              </w:rPr>
              <w:t>Items</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0CA46C6" w14:textId="77777777" w:rsidR="006052A5" w:rsidRDefault="00000000">
            <w:pPr>
              <w:jc w:val="center"/>
            </w:pPr>
            <w:r>
              <w:rPr>
                <w:b/>
                <w:bCs/>
                <w:color w:val="FFFFFF"/>
                <w:sz w:val="18"/>
                <w:szCs w:val="18"/>
              </w:rPr>
              <w:t>Alignment</w:t>
            </w:r>
          </w:p>
        </w:tc>
      </w:tr>
      <w:tr w:rsidR="006052A5" w14:paraId="44B13DB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B9519F" w14:textId="77777777" w:rsidR="006052A5" w:rsidRDefault="00000000">
            <w:pPr>
              <w:spacing w:before="20" w:after="20"/>
            </w:pPr>
            <w:r>
              <w:rPr>
                <w:color w:val="404040"/>
                <w:sz w:val="18"/>
                <w:szCs w:val="18"/>
              </w:rPr>
              <w:t>Domain 1: Teaching Competencies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7D17E8" w14:textId="77777777" w:rsidR="006052A5" w:rsidRDefault="00000000">
            <w:pPr>
              <w:spacing w:before="20" w:after="20"/>
              <w:jc w:val="center"/>
            </w:pPr>
            <w:r>
              <w:rPr>
                <w:color w:val="404040"/>
                <w:sz w:val="18"/>
                <w:szCs w:val="18"/>
              </w:rPr>
              <w:t>11</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0ADC46" w14:textId="77777777" w:rsidR="006052A5" w:rsidRDefault="00000000">
            <w:pPr>
              <w:spacing w:before="20" w:after="20"/>
              <w:jc w:val="center"/>
            </w:pPr>
            <w:r>
              <w:rPr>
                <w:color w:val="404040"/>
                <w:sz w:val="18"/>
                <w:szCs w:val="18"/>
              </w:rPr>
              <w:t>CAEP Std. 1</w:t>
            </w:r>
          </w:p>
        </w:tc>
      </w:tr>
      <w:tr w:rsidR="006052A5" w14:paraId="1FBEBBB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E99C94F" w14:textId="77777777" w:rsidR="006052A5" w:rsidRDefault="00000000">
            <w:pPr>
              <w:spacing w:before="20" w:after="20"/>
            </w:pPr>
            <w:r>
              <w:rPr>
                <w:color w:val="404040"/>
                <w:sz w:val="18"/>
                <w:szCs w:val="18"/>
              </w:rPr>
              <w:t>Domain 2: Professional Dispositions</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CCCB324" w14:textId="77777777" w:rsidR="006052A5" w:rsidRDefault="00000000">
            <w:pPr>
              <w:spacing w:before="20" w:after="20"/>
              <w:jc w:val="center"/>
            </w:pPr>
            <w:r>
              <w:rPr>
                <w:color w:val="404040"/>
                <w:sz w:val="18"/>
                <w:szCs w:val="18"/>
              </w:rPr>
              <w:t>42</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40144F1" w14:textId="77777777" w:rsidR="006052A5" w:rsidRDefault="00000000">
            <w:pPr>
              <w:spacing w:before="20" w:after="20"/>
              <w:jc w:val="center"/>
            </w:pPr>
            <w:r>
              <w:rPr>
                <w:color w:val="404040"/>
                <w:sz w:val="18"/>
                <w:szCs w:val="18"/>
              </w:rPr>
              <w:t>CAEP Std. 1</w:t>
            </w:r>
          </w:p>
        </w:tc>
      </w:tr>
      <w:tr w:rsidR="006052A5" w14:paraId="656DBDA6"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33490CE" w14:textId="77777777" w:rsidR="006052A5" w:rsidRDefault="00000000">
            <w:pPr>
              <w:spacing w:before="20" w:after="20"/>
            </w:pPr>
            <w:r>
              <w:rPr>
                <w:color w:val="404040"/>
                <w:sz w:val="18"/>
                <w:szCs w:val="18"/>
              </w:rPr>
              <w:t>Domain 3: Digital Competencies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A41E8E" w14:textId="77777777" w:rsidR="006052A5" w:rsidRDefault="00000000">
            <w:pPr>
              <w:spacing w:before="20" w:after="20"/>
              <w:jc w:val="center"/>
            </w:pPr>
            <w:r>
              <w:rPr>
                <w:color w:val="404040"/>
                <w:sz w:val="18"/>
                <w:szCs w:val="18"/>
              </w:rPr>
              <w:t>10</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3500D5" w14:textId="77777777" w:rsidR="006052A5" w:rsidRDefault="00000000">
            <w:pPr>
              <w:spacing w:before="20" w:after="20"/>
              <w:jc w:val="center"/>
            </w:pPr>
            <w:r>
              <w:rPr>
                <w:color w:val="404040"/>
                <w:sz w:val="18"/>
                <w:szCs w:val="18"/>
              </w:rPr>
              <w:t>CAEP Std. 1</w:t>
            </w:r>
          </w:p>
        </w:tc>
      </w:tr>
      <w:tr w:rsidR="006052A5" w14:paraId="7ED6E12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E117414" w14:textId="77777777" w:rsidR="006052A5" w:rsidRDefault="00000000">
            <w:pPr>
              <w:spacing w:before="20" w:after="20"/>
            </w:pPr>
            <w:r>
              <w:rPr>
                <w:color w:val="404040"/>
                <w:sz w:val="18"/>
                <w:szCs w:val="18"/>
              </w:rPr>
              <w:t>Program Component Evaluation</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E9EF6E3" w14:textId="77777777" w:rsidR="006052A5" w:rsidRDefault="00000000">
            <w:pPr>
              <w:spacing w:before="20" w:after="20"/>
              <w:jc w:val="center"/>
            </w:pPr>
            <w:r>
              <w:rPr>
                <w:color w:val="404040"/>
                <w:sz w:val="18"/>
                <w:szCs w:val="18"/>
              </w:rPr>
              <w:t>8</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3723136" w14:textId="77777777" w:rsidR="006052A5" w:rsidRDefault="00000000">
            <w:pPr>
              <w:spacing w:before="20" w:after="20"/>
              <w:jc w:val="center"/>
            </w:pPr>
            <w:r>
              <w:rPr>
                <w:color w:val="404040"/>
                <w:sz w:val="18"/>
                <w:szCs w:val="18"/>
              </w:rPr>
              <w:t>CAEP Std. 4</w:t>
            </w:r>
          </w:p>
        </w:tc>
      </w:tr>
    </w:tbl>
    <w:p w14:paraId="1488444D" w14:textId="77777777" w:rsidR="006052A5" w:rsidRDefault="006052A5">
      <w:pPr>
        <w:spacing w:before="40" w:after="40"/>
      </w:pPr>
    </w:p>
    <w:p w14:paraId="4AB0FB30" w14:textId="77777777" w:rsidR="006052A5" w:rsidRDefault="00000000">
      <w:pPr>
        <w:pStyle w:val="Heading2"/>
      </w:pPr>
      <w:r>
        <w:t>2.3 Respondent Demographics</w:t>
      </w:r>
    </w:p>
    <w:p w14:paraId="02A149A4" w14:textId="77777777" w:rsidR="006052A5" w:rsidRDefault="00000000">
      <w:pPr>
        <w:spacing w:before="80" w:after="80" w:line="276" w:lineRule="auto"/>
      </w:pPr>
      <w:r>
        <w:rPr>
          <w:color w:val="404040"/>
        </w:rPr>
        <w:t>A total of 25 completers responded (100% response rate). Demographics are presented below to contextualize results while maintaining anonymity.</w:t>
      </w:r>
    </w:p>
    <w:p w14:paraId="0092CCF5" w14:textId="77777777" w:rsidR="006052A5" w:rsidRDefault="00000000">
      <w:pPr>
        <w:spacing w:before="200" w:after="120"/>
      </w:pPr>
      <w:r>
        <w:rPr>
          <w:b/>
          <w:bCs/>
          <w:color w:val="1F3864"/>
          <w:sz w:val="22"/>
          <w:szCs w:val="22"/>
        </w:rPr>
        <w:t>Gender Distribution</w:t>
      </w:r>
    </w:p>
    <w:tbl>
      <w:tblPr>
        <w:tblW w:w="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500"/>
      </w:tblGrid>
      <w:tr w:rsidR="006052A5" w14:paraId="0B06292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ACD8536" w14:textId="77777777" w:rsidR="006052A5" w:rsidRDefault="00000000">
            <w:pPr>
              <w:jc w:val="center"/>
            </w:pPr>
            <w:r>
              <w:rPr>
                <w:b/>
                <w:bCs/>
                <w:color w:val="FFFFFF"/>
                <w:sz w:val="18"/>
                <w:szCs w:val="18"/>
              </w:rPr>
              <w:t>Gender</w:t>
            </w:r>
          </w:p>
        </w:tc>
        <w:tc>
          <w:tcPr>
            <w:tcW w:w="25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97C278D" w14:textId="77777777" w:rsidR="006052A5" w:rsidRDefault="00000000">
            <w:pPr>
              <w:jc w:val="center"/>
            </w:pPr>
            <w:r>
              <w:rPr>
                <w:b/>
                <w:bCs/>
                <w:color w:val="FFFFFF"/>
                <w:sz w:val="18"/>
                <w:szCs w:val="18"/>
              </w:rPr>
              <w:t>n (%)</w:t>
            </w:r>
          </w:p>
        </w:tc>
      </w:tr>
      <w:tr w:rsidR="006052A5" w14:paraId="0171523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64E030" w14:textId="77777777" w:rsidR="006052A5" w:rsidRDefault="00000000">
            <w:pPr>
              <w:spacing w:before="20" w:after="20"/>
            </w:pPr>
            <w:r>
              <w:rPr>
                <w:color w:val="404040"/>
                <w:sz w:val="18"/>
                <w:szCs w:val="18"/>
              </w:rPr>
              <w:t>Woman</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F934F4" w14:textId="77777777" w:rsidR="006052A5" w:rsidRDefault="00000000">
            <w:pPr>
              <w:spacing w:before="20" w:after="20"/>
              <w:jc w:val="center"/>
            </w:pPr>
            <w:r>
              <w:rPr>
                <w:color w:val="404040"/>
                <w:sz w:val="18"/>
                <w:szCs w:val="18"/>
              </w:rPr>
              <w:t>17 (68%)</w:t>
            </w:r>
          </w:p>
        </w:tc>
      </w:tr>
      <w:tr w:rsidR="006052A5" w14:paraId="7AFC919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36C4FE3" w14:textId="77777777" w:rsidR="006052A5" w:rsidRDefault="00000000">
            <w:pPr>
              <w:spacing w:before="20" w:after="20"/>
            </w:pPr>
            <w:r>
              <w:rPr>
                <w:color w:val="404040"/>
                <w:sz w:val="18"/>
                <w:szCs w:val="18"/>
              </w:rPr>
              <w:t>Man</w:t>
            </w:r>
          </w:p>
        </w:tc>
        <w:tc>
          <w:tcPr>
            <w:tcW w:w="25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D41A8FC" w14:textId="77777777" w:rsidR="006052A5" w:rsidRDefault="00000000">
            <w:pPr>
              <w:spacing w:before="20" w:after="20"/>
              <w:jc w:val="center"/>
            </w:pPr>
            <w:r>
              <w:rPr>
                <w:color w:val="404040"/>
                <w:sz w:val="18"/>
                <w:szCs w:val="18"/>
              </w:rPr>
              <w:t>8 (32%)</w:t>
            </w:r>
          </w:p>
        </w:tc>
      </w:tr>
    </w:tbl>
    <w:p w14:paraId="466ABAC7" w14:textId="77777777" w:rsidR="006052A5" w:rsidRDefault="006052A5">
      <w:pPr>
        <w:spacing w:before="40" w:after="40"/>
      </w:pPr>
    </w:p>
    <w:p w14:paraId="078C4B79" w14:textId="77777777" w:rsidR="006052A5" w:rsidRDefault="00000000">
      <w:pPr>
        <w:spacing w:before="200" w:after="120"/>
      </w:pPr>
      <w:r>
        <w:rPr>
          <w:b/>
          <w:bCs/>
          <w:color w:val="1F3864"/>
          <w:sz w:val="22"/>
          <w:szCs w:val="22"/>
        </w:rPr>
        <w:t>Practice Specialty Distribution</w:t>
      </w:r>
    </w:p>
    <w:tbl>
      <w:tblPr>
        <w:tblW w:w="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000"/>
      </w:tblGrid>
      <w:tr w:rsidR="006052A5" w14:paraId="258AC65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C381901" w14:textId="77777777" w:rsidR="006052A5" w:rsidRDefault="00000000">
            <w:pPr>
              <w:jc w:val="center"/>
            </w:pPr>
            <w:r>
              <w:rPr>
                <w:b/>
                <w:bCs/>
                <w:color w:val="FFFFFF"/>
                <w:sz w:val="18"/>
                <w:szCs w:val="18"/>
              </w:rPr>
              <w:t>Specialty</w:t>
            </w:r>
          </w:p>
        </w:tc>
        <w:tc>
          <w:tcPr>
            <w:tcW w:w="20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F24101B" w14:textId="77777777" w:rsidR="006052A5" w:rsidRDefault="00000000">
            <w:pPr>
              <w:jc w:val="center"/>
            </w:pPr>
            <w:r>
              <w:rPr>
                <w:b/>
                <w:bCs/>
                <w:color w:val="FFFFFF"/>
                <w:sz w:val="18"/>
                <w:szCs w:val="18"/>
              </w:rPr>
              <w:t>n</w:t>
            </w:r>
          </w:p>
        </w:tc>
      </w:tr>
      <w:tr w:rsidR="006052A5" w14:paraId="4F18550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E87623" w14:textId="77777777" w:rsidR="006052A5" w:rsidRDefault="00000000">
            <w:pPr>
              <w:spacing w:before="20" w:after="20"/>
            </w:pPr>
            <w:r>
              <w:rPr>
                <w:color w:val="404040"/>
                <w:sz w:val="18"/>
                <w:szCs w:val="18"/>
              </w:rPr>
              <w:t>Agricultural Education</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08F7D5" w14:textId="77777777" w:rsidR="006052A5" w:rsidRDefault="00000000">
            <w:pPr>
              <w:spacing w:before="20" w:after="20"/>
              <w:jc w:val="center"/>
            </w:pPr>
            <w:r>
              <w:rPr>
                <w:color w:val="404040"/>
                <w:sz w:val="18"/>
                <w:szCs w:val="18"/>
              </w:rPr>
              <w:t>7</w:t>
            </w:r>
          </w:p>
        </w:tc>
      </w:tr>
      <w:tr w:rsidR="006052A5" w14:paraId="684707F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3840081" w14:textId="77777777" w:rsidR="006052A5" w:rsidRDefault="00000000">
            <w:pPr>
              <w:spacing w:before="20" w:after="20"/>
            </w:pPr>
            <w:r>
              <w:rPr>
                <w:color w:val="404040"/>
                <w:sz w:val="18"/>
                <w:szCs w:val="18"/>
              </w:rPr>
              <w:lastRenderedPageBreak/>
              <w:t>Physics</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A144FD3" w14:textId="77777777" w:rsidR="006052A5" w:rsidRDefault="00000000">
            <w:pPr>
              <w:spacing w:before="20" w:after="20"/>
              <w:jc w:val="center"/>
            </w:pPr>
            <w:r>
              <w:rPr>
                <w:color w:val="404040"/>
                <w:sz w:val="18"/>
                <w:szCs w:val="18"/>
              </w:rPr>
              <w:t>3</w:t>
            </w:r>
          </w:p>
        </w:tc>
      </w:tr>
      <w:tr w:rsidR="006052A5" w14:paraId="1F1904F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09CFC0" w14:textId="77777777" w:rsidR="006052A5" w:rsidRDefault="00000000">
            <w:pPr>
              <w:spacing w:before="20" w:after="20"/>
            </w:pPr>
            <w:r>
              <w:rPr>
                <w:color w:val="404040"/>
                <w:sz w:val="18"/>
                <w:szCs w:val="18"/>
              </w:rPr>
              <w:t>Business Administration</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73A8A0" w14:textId="77777777" w:rsidR="006052A5" w:rsidRDefault="00000000">
            <w:pPr>
              <w:spacing w:before="20" w:after="20"/>
              <w:jc w:val="center"/>
            </w:pPr>
            <w:r>
              <w:rPr>
                <w:color w:val="404040"/>
                <w:sz w:val="18"/>
                <w:szCs w:val="18"/>
              </w:rPr>
              <w:t>3</w:t>
            </w:r>
          </w:p>
        </w:tc>
      </w:tr>
      <w:tr w:rsidR="006052A5" w14:paraId="4A26DE5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DDFBDAA" w14:textId="77777777" w:rsidR="006052A5" w:rsidRDefault="00000000">
            <w:pPr>
              <w:spacing w:before="20" w:after="20"/>
            </w:pPr>
            <w:r>
              <w:rPr>
                <w:color w:val="404040"/>
                <w:sz w:val="18"/>
                <w:szCs w:val="18"/>
              </w:rPr>
              <w:t>Biology</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B7BDF00" w14:textId="77777777" w:rsidR="006052A5" w:rsidRDefault="00000000">
            <w:pPr>
              <w:spacing w:before="20" w:after="20"/>
              <w:jc w:val="center"/>
            </w:pPr>
            <w:r>
              <w:rPr>
                <w:color w:val="404040"/>
                <w:sz w:val="18"/>
                <w:szCs w:val="18"/>
              </w:rPr>
              <w:t>3</w:t>
            </w:r>
          </w:p>
        </w:tc>
      </w:tr>
      <w:tr w:rsidR="006052A5" w14:paraId="00A2C7D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2C7331" w14:textId="77777777" w:rsidR="006052A5" w:rsidRDefault="00000000">
            <w:pPr>
              <w:spacing w:before="20" w:after="20"/>
            </w:pPr>
            <w:r>
              <w:rPr>
                <w:color w:val="404040"/>
                <w:sz w:val="18"/>
                <w:szCs w:val="18"/>
              </w:rPr>
              <w:t>Mathematics</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4BF27F" w14:textId="77777777" w:rsidR="006052A5" w:rsidRDefault="00000000">
            <w:pPr>
              <w:spacing w:before="20" w:after="20"/>
              <w:jc w:val="center"/>
            </w:pPr>
            <w:r>
              <w:rPr>
                <w:color w:val="404040"/>
                <w:sz w:val="18"/>
                <w:szCs w:val="18"/>
              </w:rPr>
              <w:t>3</w:t>
            </w:r>
          </w:p>
        </w:tc>
      </w:tr>
      <w:tr w:rsidR="006052A5" w14:paraId="2A5F57D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FD9EE9A" w14:textId="77777777" w:rsidR="006052A5" w:rsidRDefault="00000000">
            <w:pPr>
              <w:spacing w:before="20" w:after="20"/>
            </w:pPr>
            <w:r>
              <w:rPr>
                <w:color w:val="404040"/>
                <w:sz w:val="18"/>
                <w:szCs w:val="18"/>
              </w:rPr>
              <w:t>Art</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6A3862D" w14:textId="77777777" w:rsidR="006052A5" w:rsidRDefault="00000000">
            <w:pPr>
              <w:spacing w:before="20" w:after="20"/>
              <w:jc w:val="center"/>
            </w:pPr>
            <w:r>
              <w:rPr>
                <w:color w:val="404040"/>
                <w:sz w:val="18"/>
                <w:szCs w:val="18"/>
              </w:rPr>
              <w:t>2</w:t>
            </w:r>
          </w:p>
        </w:tc>
      </w:tr>
      <w:tr w:rsidR="006052A5" w14:paraId="3CC90A6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BAD297" w14:textId="77777777" w:rsidR="006052A5" w:rsidRDefault="00000000">
            <w:pPr>
              <w:spacing w:before="20" w:after="20"/>
            </w:pPr>
            <w:r>
              <w:rPr>
                <w:color w:val="404040"/>
                <w:sz w:val="18"/>
                <w:szCs w:val="18"/>
              </w:rPr>
              <w:t>Educational Technology</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2DB6C1" w14:textId="77777777" w:rsidR="006052A5" w:rsidRDefault="00000000">
            <w:pPr>
              <w:spacing w:before="20" w:after="20"/>
              <w:jc w:val="center"/>
            </w:pPr>
            <w:r>
              <w:rPr>
                <w:color w:val="404040"/>
                <w:sz w:val="18"/>
                <w:szCs w:val="18"/>
              </w:rPr>
              <w:t>1</w:t>
            </w:r>
          </w:p>
        </w:tc>
      </w:tr>
      <w:tr w:rsidR="006052A5" w14:paraId="6639076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7A076F9" w14:textId="77777777" w:rsidR="006052A5" w:rsidRDefault="00000000">
            <w:pPr>
              <w:spacing w:before="20" w:after="20"/>
            </w:pPr>
            <w:r>
              <w:rPr>
                <w:color w:val="404040"/>
                <w:sz w:val="18"/>
                <w:szCs w:val="18"/>
              </w:rPr>
              <w:t>Physical Education</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200DD5D" w14:textId="77777777" w:rsidR="006052A5" w:rsidRDefault="00000000">
            <w:pPr>
              <w:spacing w:before="20" w:after="20"/>
              <w:jc w:val="center"/>
            </w:pPr>
            <w:r>
              <w:rPr>
                <w:color w:val="404040"/>
                <w:sz w:val="18"/>
                <w:szCs w:val="18"/>
              </w:rPr>
              <w:t>1</w:t>
            </w:r>
          </w:p>
        </w:tc>
      </w:tr>
      <w:tr w:rsidR="006052A5" w14:paraId="57009A4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DD2932" w14:textId="77777777" w:rsidR="006052A5" w:rsidRDefault="00000000">
            <w:pPr>
              <w:spacing w:before="20" w:after="20"/>
            </w:pPr>
            <w:r>
              <w:rPr>
                <w:color w:val="404040"/>
                <w:sz w:val="18"/>
                <w:szCs w:val="18"/>
              </w:rPr>
              <w:t>Chemistry</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8240E7" w14:textId="77777777" w:rsidR="006052A5" w:rsidRDefault="00000000">
            <w:pPr>
              <w:spacing w:before="20" w:after="20"/>
              <w:jc w:val="center"/>
            </w:pPr>
            <w:r>
              <w:rPr>
                <w:color w:val="404040"/>
                <w:sz w:val="18"/>
                <w:szCs w:val="18"/>
              </w:rPr>
              <w:t>1</w:t>
            </w:r>
          </w:p>
        </w:tc>
      </w:tr>
      <w:tr w:rsidR="006052A5" w14:paraId="157F42B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D2CB1F9" w14:textId="77777777" w:rsidR="006052A5" w:rsidRDefault="00000000">
            <w:pPr>
              <w:spacing w:before="20" w:after="20"/>
            </w:pPr>
            <w:r>
              <w:rPr>
                <w:color w:val="404040"/>
                <w:sz w:val="18"/>
                <w:szCs w:val="18"/>
              </w:rPr>
              <w:t>English</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6B47F2A" w14:textId="77777777" w:rsidR="006052A5" w:rsidRDefault="00000000">
            <w:pPr>
              <w:spacing w:before="20" w:after="20"/>
              <w:jc w:val="center"/>
            </w:pPr>
            <w:r>
              <w:rPr>
                <w:color w:val="404040"/>
                <w:sz w:val="18"/>
                <w:szCs w:val="18"/>
              </w:rPr>
              <w:t>1</w:t>
            </w:r>
          </w:p>
        </w:tc>
      </w:tr>
    </w:tbl>
    <w:p w14:paraId="4E2EC211" w14:textId="77777777" w:rsidR="006052A5" w:rsidRDefault="006052A5">
      <w:pPr>
        <w:spacing w:before="40" w:after="40"/>
      </w:pPr>
    </w:p>
    <w:p w14:paraId="72D7D55F" w14:textId="77777777" w:rsidR="006052A5" w:rsidRDefault="00000000">
      <w:pPr>
        <w:spacing w:before="200" w:after="120"/>
      </w:pPr>
      <w:r>
        <w:rPr>
          <w:b/>
          <w:bCs/>
          <w:color w:val="1F3864"/>
          <w:sz w:val="22"/>
          <w:szCs w:val="22"/>
        </w:rPr>
        <w:t>Socioeconomic Background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0"/>
        <w:gridCol w:w="2300"/>
      </w:tblGrid>
      <w:tr w:rsidR="006052A5" w14:paraId="3A5F3EE3"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D219D7D" w14:textId="77777777" w:rsidR="006052A5" w:rsidRDefault="00000000">
            <w:pPr>
              <w:jc w:val="center"/>
            </w:pPr>
            <w:r>
              <w:rPr>
                <w:b/>
                <w:bCs/>
                <w:color w:val="FFFFFF"/>
                <w:sz w:val="18"/>
                <w:szCs w:val="18"/>
              </w:rPr>
              <w:t>Category</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DA3A78A" w14:textId="77777777" w:rsidR="006052A5" w:rsidRDefault="00000000">
            <w:pPr>
              <w:jc w:val="center"/>
            </w:pPr>
            <w:r>
              <w:rPr>
                <w:b/>
                <w:bCs/>
                <w:color w:val="FFFFFF"/>
                <w:sz w:val="18"/>
                <w:szCs w:val="18"/>
              </w:rPr>
              <w:t>n (%)</w:t>
            </w:r>
          </w:p>
        </w:tc>
      </w:tr>
      <w:tr w:rsidR="006052A5" w14:paraId="157C92B5"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FC5790" w14:textId="77777777" w:rsidR="006052A5" w:rsidRDefault="00000000">
            <w:pPr>
              <w:spacing w:before="20" w:after="20"/>
            </w:pPr>
            <w:r>
              <w:rPr>
                <w:color w:val="404040"/>
                <w:sz w:val="18"/>
                <w:szCs w:val="18"/>
              </w:rPr>
              <w:t>Received need-based financial aid (e.g., Pell Grant)</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B82BFE" w14:textId="77777777" w:rsidR="006052A5" w:rsidRDefault="00000000">
            <w:pPr>
              <w:spacing w:before="20" w:after="20"/>
              <w:jc w:val="center"/>
            </w:pPr>
            <w:r>
              <w:rPr>
                <w:color w:val="404040"/>
                <w:sz w:val="18"/>
                <w:szCs w:val="18"/>
              </w:rPr>
              <w:t>16 (64%)</w:t>
            </w:r>
          </w:p>
        </w:tc>
      </w:tr>
      <w:tr w:rsidR="006052A5" w14:paraId="11C9AB20"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714DEA7" w14:textId="77777777" w:rsidR="006052A5" w:rsidRDefault="00000000">
            <w:pPr>
              <w:spacing w:before="20" w:after="20"/>
            </w:pPr>
            <w:r>
              <w:rPr>
                <w:color w:val="404040"/>
                <w:sz w:val="18"/>
                <w:szCs w:val="18"/>
              </w:rPr>
              <w:t>Received merit-based financial aid only</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6AE8FA6" w14:textId="77777777" w:rsidR="006052A5" w:rsidRDefault="00000000">
            <w:pPr>
              <w:spacing w:before="20" w:after="20"/>
              <w:jc w:val="center"/>
            </w:pPr>
            <w:r>
              <w:rPr>
                <w:color w:val="404040"/>
                <w:sz w:val="18"/>
                <w:szCs w:val="18"/>
              </w:rPr>
              <w:t>4 (16%)</w:t>
            </w:r>
          </w:p>
        </w:tc>
      </w:tr>
      <w:tr w:rsidR="006052A5" w14:paraId="56D50FD9"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B6999C" w14:textId="77777777" w:rsidR="006052A5" w:rsidRDefault="00000000">
            <w:pPr>
              <w:spacing w:before="20" w:after="20"/>
            </w:pPr>
            <w:r>
              <w:rPr>
                <w:color w:val="404040"/>
                <w:sz w:val="18"/>
                <w:szCs w:val="18"/>
              </w:rPr>
              <w:t>Did not receive financial aid</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2FA4E0" w14:textId="77777777" w:rsidR="006052A5" w:rsidRDefault="00000000">
            <w:pPr>
              <w:spacing w:before="20" w:after="20"/>
              <w:jc w:val="center"/>
            </w:pPr>
            <w:r>
              <w:rPr>
                <w:color w:val="404040"/>
                <w:sz w:val="18"/>
                <w:szCs w:val="18"/>
              </w:rPr>
              <w:t>4 (16%)</w:t>
            </w:r>
          </w:p>
        </w:tc>
      </w:tr>
      <w:tr w:rsidR="006052A5" w14:paraId="225105F6"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6CDE168" w14:textId="77777777" w:rsidR="006052A5" w:rsidRDefault="00000000">
            <w:pPr>
              <w:spacing w:before="20" w:after="20"/>
            </w:pPr>
            <w:r>
              <w:rPr>
                <w:color w:val="404040"/>
                <w:sz w:val="18"/>
                <w:szCs w:val="18"/>
              </w:rPr>
              <w:t>Not reported</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34D29FF" w14:textId="77777777" w:rsidR="006052A5" w:rsidRDefault="00000000">
            <w:pPr>
              <w:spacing w:before="20" w:after="20"/>
              <w:jc w:val="center"/>
            </w:pPr>
            <w:r>
              <w:rPr>
                <w:color w:val="404040"/>
                <w:sz w:val="18"/>
                <w:szCs w:val="18"/>
              </w:rPr>
              <w:t>1 (4%)</w:t>
            </w:r>
          </w:p>
        </w:tc>
      </w:tr>
    </w:tbl>
    <w:p w14:paraId="195E7E8B" w14:textId="77777777" w:rsidR="006052A5" w:rsidRDefault="00000000">
      <w:r>
        <w:br w:type="page"/>
      </w:r>
    </w:p>
    <w:p w14:paraId="59295B9C" w14:textId="77777777" w:rsidR="006052A5" w:rsidRDefault="00000000">
      <w:pPr>
        <w:pStyle w:val="Heading1"/>
      </w:pPr>
      <w:r>
        <w:lastRenderedPageBreak/>
        <w:t>3. Quantitative Findings</w:t>
      </w:r>
    </w:p>
    <w:p w14:paraId="22AC4398" w14:textId="77777777" w:rsidR="006052A5" w:rsidRDefault="00000000">
      <w:pPr>
        <w:pStyle w:val="Heading2"/>
      </w:pPr>
      <w:r>
        <w:t>3.1 Overall Summary by Domain</w:t>
      </w:r>
    </w:p>
    <w:p w14:paraId="45A9E27A" w14:textId="51514C16" w:rsidR="006052A5" w:rsidRDefault="009B7BEB">
      <w:pPr>
        <w:spacing w:before="80" w:after="80" w:line="276" w:lineRule="auto"/>
      </w:pPr>
      <w:r>
        <w:t>Overall, completers generally meet or exceed expected levels of preparation across all domains, as reflected in domain-level and item-level findings.</w:t>
      </w:r>
      <w:r>
        <w:t xml:space="preserve"> </w:t>
      </w:r>
      <w:r w:rsidR="00000000">
        <w:rPr>
          <w:color w:val="404040"/>
        </w:rPr>
        <w:t>The table below summarizes mean scores, standard deviations, and percentage of responses meeting the acceptable level (≥3) across all four domains.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60"/>
        <w:gridCol w:w="1400"/>
        <w:gridCol w:w="1400"/>
        <w:gridCol w:w="1400"/>
        <w:gridCol w:w="1400"/>
      </w:tblGrid>
      <w:tr w:rsidR="006052A5" w14:paraId="6F6E2518"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1624E5E" w14:textId="77777777" w:rsidR="006052A5" w:rsidRDefault="00000000">
            <w:pPr>
              <w:jc w:val="center"/>
            </w:pPr>
            <w:r>
              <w:rPr>
                <w:b/>
                <w:bCs/>
                <w:color w:val="FFFFFF"/>
                <w:sz w:val="18"/>
                <w:szCs w:val="18"/>
              </w:rPr>
              <w:t>Domain</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3654324" w14:textId="77777777" w:rsidR="006052A5" w:rsidRDefault="00000000">
            <w:pPr>
              <w:jc w:val="center"/>
            </w:pPr>
            <w:r>
              <w:rPr>
                <w:b/>
                <w:bCs/>
                <w:color w:val="FFFFFF"/>
                <w:sz w:val="18"/>
                <w:szCs w:val="18"/>
              </w:rPr>
              <w:t>Items</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ECD917E" w14:textId="77777777" w:rsidR="006052A5" w:rsidRDefault="00000000">
            <w:pPr>
              <w:jc w:val="center"/>
            </w:pPr>
            <w:r>
              <w:rPr>
                <w:b/>
                <w:bCs/>
                <w:color w:val="FFFFFF"/>
                <w:sz w:val="18"/>
                <w:szCs w:val="18"/>
              </w:rPr>
              <w:t>Mean</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F5391AC" w14:textId="77777777" w:rsidR="006052A5" w:rsidRDefault="00000000">
            <w:pPr>
              <w:jc w:val="center"/>
            </w:pPr>
            <w:r>
              <w:rPr>
                <w:b/>
                <w:bCs/>
                <w:color w:val="FFFFFF"/>
                <w:sz w:val="18"/>
                <w:szCs w:val="18"/>
              </w:rPr>
              <w:t>SD</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40859EA" w14:textId="77777777" w:rsidR="006052A5" w:rsidRDefault="00000000">
            <w:pPr>
              <w:jc w:val="center"/>
            </w:pPr>
            <w:r>
              <w:rPr>
                <w:b/>
                <w:bCs/>
                <w:color w:val="FFFFFF"/>
                <w:sz w:val="18"/>
                <w:szCs w:val="18"/>
              </w:rPr>
              <w:t>% Acceptable</w:t>
            </w:r>
          </w:p>
        </w:tc>
      </w:tr>
      <w:tr w:rsidR="006052A5" w14:paraId="1F31C4DF"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9207AC" w14:textId="77777777" w:rsidR="006052A5" w:rsidRDefault="00000000">
            <w:r>
              <w:rPr>
                <w:color w:val="404040"/>
                <w:sz w:val="18"/>
                <w:szCs w:val="18"/>
              </w:rPr>
              <w:t>Teaching Competencies</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3D385C" w14:textId="77777777" w:rsidR="006052A5" w:rsidRDefault="00000000">
            <w:pPr>
              <w:jc w:val="center"/>
            </w:pPr>
            <w:r>
              <w:rPr>
                <w:color w:val="404040"/>
                <w:sz w:val="18"/>
                <w:szCs w:val="18"/>
              </w:rPr>
              <w:t>11</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A80A65" w14:textId="77777777" w:rsidR="006052A5" w:rsidRDefault="00000000">
            <w:pPr>
              <w:jc w:val="center"/>
            </w:pPr>
            <w:r>
              <w:rPr>
                <w:color w:val="404040"/>
                <w:sz w:val="18"/>
                <w:szCs w:val="18"/>
              </w:rPr>
              <w:t>3.84</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A3B0E3" w14:textId="77777777" w:rsidR="006052A5" w:rsidRDefault="00000000">
            <w:pPr>
              <w:jc w:val="center"/>
            </w:pPr>
            <w:r>
              <w:rPr>
                <w:color w:val="404040"/>
                <w:sz w:val="18"/>
                <w:szCs w:val="18"/>
              </w:rPr>
              <w:t>0.44</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C5D964" w14:textId="77777777" w:rsidR="006052A5" w:rsidRDefault="00000000">
            <w:pPr>
              <w:jc w:val="center"/>
            </w:pPr>
            <w:r>
              <w:rPr>
                <w:color w:val="404040"/>
                <w:sz w:val="18"/>
                <w:szCs w:val="18"/>
              </w:rPr>
              <w:t>98.0%</w:t>
            </w:r>
          </w:p>
        </w:tc>
      </w:tr>
      <w:tr w:rsidR="006052A5" w14:paraId="2CE42480"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35A55EF" w14:textId="77777777" w:rsidR="006052A5" w:rsidRDefault="00000000">
            <w:r>
              <w:rPr>
                <w:color w:val="404040"/>
                <w:sz w:val="18"/>
                <w:szCs w:val="18"/>
              </w:rPr>
              <w:t>Professional Dispositions</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B9F9122" w14:textId="77777777" w:rsidR="006052A5" w:rsidRDefault="00000000">
            <w:pPr>
              <w:jc w:val="center"/>
            </w:pPr>
            <w:r>
              <w:rPr>
                <w:color w:val="404040"/>
                <w:sz w:val="18"/>
                <w:szCs w:val="18"/>
              </w:rPr>
              <w:t>42</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38FA0FD" w14:textId="77777777" w:rsidR="006052A5" w:rsidRDefault="00000000">
            <w:pPr>
              <w:jc w:val="center"/>
            </w:pPr>
            <w:r>
              <w:rPr>
                <w:color w:val="404040"/>
                <w:sz w:val="18"/>
                <w:szCs w:val="18"/>
              </w:rPr>
              <w:t>3.89</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81FE95E" w14:textId="77777777" w:rsidR="006052A5" w:rsidRDefault="00000000">
            <w:pPr>
              <w:jc w:val="center"/>
            </w:pPr>
            <w:r>
              <w:rPr>
                <w:color w:val="404040"/>
                <w:sz w:val="18"/>
                <w:szCs w:val="18"/>
              </w:rPr>
              <w:t>0.34</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B48A4B8" w14:textId="77777777" w:rsidR="006052A5" w:rsidRDefault="00000000">
            <w:pPr>
              <w:jc w:val="center"/>
            </w:pPr>
            <w:r>
              <w:rPr>
                <w:color w:val="404040"/>
                <w:sz w:val="18"/>
                <w:szCs w:val="18"/>
              </w:rPr>
              <w:t>99.2%</w:t>
            </w:r>
          </w:p>
        </w:tc>
      </w:tr>
      <w:tr w:rsidR="006052A5" w14:paraId="36B55613"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590D81" w14:textId="77777777" w:rsidR="006052A5" w:rsidRDefault="00000000">
            <w:r>
              <w:rPr>
                <w:color w:val="404040"/>
                <w:sz w:val="18"/>
                <w:szCs w:val="18"/>
              </w:rPr>
              <w:t>Digital Competencies</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67E0E2" w14:textId="77777777" w:rsidR="006052A5" w:rsidRDefault="00000000">
            <w:pPr>
              <w:jc w:val="center"/>
            </w:pPr>
            <w:r>
              <w:rPr>
                <w:color w:val="404040"/>
                <w:sz w:val="18"/>
                <w:szCs w:val="18"/>
              </w:rPr>
              <w:t>10</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2B21D5" w14:textId="77777777" w:rsidR="006052A5" w:rsidRDefault="00000000">
            <w:pPr>
              <w:jc w:val="center"/>
            </w:pPr>
            <w:r>
              <w:rPr>
                <w:color w:val="404040"/>
                <w:sz w:val="18"/>
                <w:szCs w:val="18"/>
              </w:rPr>
              <w:t>3.83</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BDB927" w14:textId="77777777" w:rsidR="006052A5" w:rsidRDefault="00000000">
            <w:pPr>
              <w:jc w:val="center"/>
            </w:pPr>
            <w:r>
              <w:rPr>
                <w:color w:val="404040"/>
                <w:sz w:val="18"/>
                <w:szCs w:val="18"/>
              </w:rPr>
              <w:t>0.38</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74DFA9" w14:textId="77777777" w:rsidR="006052A5" w:rsidRDefault="00000000">
            <w:pPr>
              <w:jc w:val="center"/>
            </w:pPr>
            <w:r>
              <w:rPr>
                <w:color w:val="404040"/>
                <w:sz w:val="18"/>
                <w:szCs w:val="18"/>
              </w:rPr>
              <w:t>100.0%</w:t>
            </w:r>
          </w:p>
        </w:tc>
      </w:tr>
      <w:tr w:rsidR="006052A5" w14:paraId="65D08C1B"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5B3DE28" w14:textId="77777777" w:rsidR="006052A5" w:rsidRDefault="00000000">
            <w:r>
              <w:rPr>
                <w:color w:val="404040"/>
                <w:sz w:val="18"/>
                <w:szCs w:val="18"/>
              </w:rPr>
              <w:t>Clinical Experience</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05E9AC5" w14:textId="77777777" w:rsidR="006052A5" w:rsidRDefault="00000000">
            <w:pPr>
              <w:jc w:val="center"/>
            </w:pPr>
            <w:r>
              <w:rPr>
                <w:color w:val="404040"/>
                <w:sz w:val="18"/>
                <w:szCs w:val="18"/>
              </w:rPr>
              <w:t>8</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864432C" w14:textId="77777777" w:rsidR="006052A5" w:rsidRDefault="00000000">
            <w:pPr>
              <w:jc w:val="center"/>
            </w:pPr>
            <w:r>
              <w:rPr>
                <w:color w:val="404040"/>
                <w:sz w:val="18"/>
                <w:szCs w:val="18"/>
              </w:rPr>
              <w:t>3.80</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971AD07" w14:textId="77777777" w:rsidR="006052A5" w:rsidRDefault="00000000">
            <w:pPr>
              <w:jc w:val="center"/>
            </w:pPr>
            <w:r>
              <w:rPr>
                <w:color w:val="404040"/>
                <w:sz w:val="18"/>
                <w:szCs w:val="18"/>
              </w:rPr>
              <w:t>0.44</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907A84D" w14:textId="77777777" w:rsidR="006052A5" w:rsidRDefault="00000000">
            <w:pPr>
              <w:jc w:val="center"/>
            </w:pPr>
            <w:r>
              <w:rPr>
                <w:color w:val="404040"/>
                <w:sz w:val="18"/>
                <w:szCs w:val="18"/>
              </w:rPr>
              <w:t>98.5%</w:t>
            </w:r>
          </w:p>
        </w:tc>
      </w:tr>
      <w:tr w:rsidR="006052A5" w14:paraId="6FC61220"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0C9BC480" w14:textId="77777777" w:rsidR="006052A5" w:rsidRDefault="00000000">
            <w:r>
              <w:rPr>
                <w:b/>
                <w:bCs/>
                <w:color w:val="404040"/>
                <w:sz w:val="18"/>
                <w:szCs w:val="18"/>
              </w:rPr>
              <w:t>Overall</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4ECE0A10" w14:textId="77777777" w:rsidR="006052A5" w:rsidRDefault="00000000">
            <w:pPr>
              <w:jc w:val="center"/>
            </w:pPr>
            <w:r>
              <w:rPr>
                <w:b/>
                <w:bCs/>
                <w:color w:val="404040"/>
                <w:sz w:val="18"/>
                <w:szCs w:val="18"/>
              </w:rPr>
              <w:t>71</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5164DE0E" w14:textId="77777777" w:rsidR="006052A5" w:rsidRDefault="00000000">
            <w:pPr>
              <w:jc w:val="center"/>
            </w:pPr>
            <w:r>
              <w:rPr>
                <w:b/>
                <w:bCs/>
                <w:color w:val="404040"/>
                <w:sz w:val="18"/>
                <w:szCs w:val="18"/>
              </w:rPr>
              <w:t>3.87</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25A79B8D" w14:textId="77777777" w:rsidR="006052A5" w:rsidRDefault="00000000">
            <w:pPr>
              <w:jc w:val="center"/>
            </w:pPr>
            <w:r>
              <w:rPr>
                <w:b/>
                <w:bCs/>
                <w:color w:val="404040"/>
                <w:sz w:val="18"/>
                <w:szCs w:val="18"/>
              </w:rPr>
              <w:t>0.36</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2A07293F" w14:textId="77777777" w:rsidR="006052A5" w:rsidRDefault="00000000">
            <w:pPr>
              <w:jc w:val="center"/>
            </w:pPr>
            <w:r>
              <w:rPr>
                <w:b/>
                <w:bCs/>
                <w:color w:val="404040"/>
                <w:sz w:val="18"/>
                <w:szCs w:val="18"/>
              </w:rPr>
              <w:t>99.2%</w:t>
            </w:r>
          </w:p>
        </w:tc>
      </w:tr>
    </w:tbl>
    <w:p w14:paraId="1CB25754" w14:textId="77777777" w:rsidR="006052A5" w:rsidRDefault="006052A5">
      <w:pPr>
        <w:spacing w:before="40" w:after="40"/>
      </w:pPr>
    </w:p>
    <w:p w14:paraId="00CCF52E" w14:textId="77777777" w:rsidR="006052A5" w:rsidRDefault="00000000">
      <w:pPr>
        <w:spacing w:before="80" w:after="80" w:line="276" w:lineRule="auto"/>
      </w:pPr>
      <w:r>
        <w:rPr>
          <w:color w:val="404040"/>
        </w:rPr>
        <w:t>All domains exceed the acceptable performance threshold of 3.00, with an overall mean of 3.87 (SD = 0.36). The percentage of responses at the acceptable level is 99.2%, indicating near-universal perception of adequate preparation.</w:t>
      </w:r>
    </w:p>
    <w:p w14:paraId="51E69A03" w14:textId="77777777" w:rsidR="006052A5" w:rsidRDefault="00000000">
      <w:r>
        <w:br w:type="page"/>
      </w:r>
    </w:p>
    <w:p w14:paraId="16AF36B1" w14:textId="77777777" w:rsidR="006052A5" w:rsidRDefault="00000000">
      <w:pPr>
        <w:pStyle w:val="Heading2"/>
      </w:pPr>
      <w:r>
        <w:lastRenderedPageBreak/>
        <w:t>3.2 Domain 1: Teaching Competencies</w:t>
      </w:r>
    </w:p>
    <w:p w14:paraId="5AD1DBD2" w14:textId="77777777" w:rsidR="006052A5" w:rsidRDefault="00000000">
      <w:pPr>
        <w:spacing w:before="80" w:after="80" w:line="276" w:lineRule="auto"/>
      </w:pPr>
      <w:r>
        <w:rPr>
          <w:color w:val="404040"/>
        </w:rPr>
        <w:t>This domain comprises 11 items assessing candidate preparedness in content knowledge, pedagogy, communication, technology integration, assessment, and professional relationships. Domain mean: 3.84 (SD = 0.44), with 98.0% of responses at the acceptable level.</w:t>
      </w:r>
    </w:p>
    <w:p w14:paraId="3FEAF7FB" w14:textId="77777777" w:rsidR="006052A5" w:rsidRDefault="00000000">
      <w:pPr>
        <w:spacing w:before="200" w:after="120"/>
      </w:pPr>
      <w:r>
        <w:rPr>
          <w:b/>
          <w:bCs/>
          <w:color w:val="1F3864"/>
          <w:sz w:val="22"/>
          <w:szCs w:val="22"/>
        </w:rPr>
        <w:t>Teaching Competencies — Item-Level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
        <w:gridCol w:w="4471"/>
        <w:gridCol w:w="1094"/>
        <w:gridCol w:w="1093"/>
        <w:gridCol w:w="1091"/>
        <w:gridCol w:w="1161"/>
      </w:tblGrid>
      <w:tr w:rsidR="006052A5" w14:paraId="5E2740DD"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4383937" w14:textId="77777777" w:rsidR="006052A5"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BF7D56F" w14:textId="77777777" w:rsidR="006052A5"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DC3F717" w14:textId="77777777" w:rsidR="006052A5"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1EAF943" w14:textId="77777777" w:rsidR="006052A5"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E6932E4" w14:textId="77777777" w:rsidR="006052A5"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4D22D79" w14:textId="77777777" w:rsidR="006052A5" w:rsidRDefault="00000000">
            <w:pPr>
              <w:jc w:val="center"/>
            </w:pPr>
            <w:r>
              <w:rPr>
                <w:b/>
                <w:bCs/>
                <w:color w:val="FFFFFF"/>
                <w:sz w:val="18"/>
                <w:szCs w:val="18"/>
              </w:rPr>
              <w:t>% Acceptable</w:t>
            </w:r>
          </w:p>
        </w:tc>
      </w:tr>
      <w:tr w:rsidR="006052A5" w14:paraId="3851D27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F04A2F" w14:textId="77777777" w:rsidR="006052A5" w:rsidRDefault="00000000">
            <w:pPr>
              <w:spacing w:before="20" w:after="20"/>
              <w:jc w:val="center"/>
            </w:pPr>
            <w:r>
              <w:rPr>
                <w:color w:val="404040"/>
                <w:sz w:val="18"/>
                <w:szCs w:val="18"/>
              </w:rPr>
              <w:t>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5AB620" w14:textId="77777777" w:rsidR="006052A5" w:rsidRDefault="00000000">
            <w:pPr>
              <w:spacing w:before="20" w:after="20"/>
            </w:pPr>
            <w:r>
              <w:rPr>
                <w:color w:val="404040"/>
                <w:sz w:val="18"/>
                <w:szCs w:val="18"/>
              </w:rPr>
              <w:t>Understanding of the content area or discipline</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09EDA5"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EED518"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71C0D4"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FF46F5" w14:textId="77777777" w:rsidR="006052A5" w:rsidRDefault="00000000">
            <w:pPr>
              <w:spacing w:before="20" w:after="20"/>
              <w:jc w:val="center"/>
            </w:pPr>
            <w:r>
              <w:rPr>
                <w:color w:val="404040"/>
                <w:sz w:val="18"/>
                <w:szCs w:val="18"/>
              </w:rPr>
              <w:t>100%</w:t>
            </w:r>
          </w:p>
        </w:tc>
      </w:tr>
      <w:tr w:rsidR="006052A5" w14:paraId="360EDAA6"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604C2B4" w14:textId="77777777" w:rsidR="006052A5" w:rsidRDefault="00000000">
            <w:pPr>
              <w:spacing w:before="20" w:after="20"/>
              <w:jc w:val="center"/>
            </w:pPr>
            <w:r>
              <w:rPr>
                <w:color w:val="404040"/>
                <w:sz w:val="18"/>
                <w:szCs w:val="18"/>
              </w:rPr>
              <w:t>2</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FAE3D31" w14:textId="77777777" w:rsidR="006052A5" w:rsidRDefault="00000000">
            <w:pPr>
              <w:spacing w:before="20" w:after="20"/>
            </w:pPr>
            <w:r>
              <w:rPr>
                <w:color w:val="404040"/>
                <w:sz w:val="18"/>
                <w:szCs w:val="18"/>
              </w:rPr>
              <w:t>Recognizing and responding to different ways students learn</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A6E7DC9" w14:textId="77777777" w:rsidR="006052A5" w:rsidRDefault="00000000">
            <w:pPr>
              <w:spacing w:before="20" w:after="20"/>
              <w:jc w:val="center"/>
            </w:pPr>
            <w:r>
              <w:rPr>
                <w:color w:val="404040"/>
                <w:sz w:val="18"/>
                <w:szCs w:val="18"/>
              </w:rPr>
              <w:t>3.84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BDC3A99" w14:textId="77777777" w:rsidR="006052A5" w:rsidRDefault="00000000">
            <w:pPr>
              <w:spacing w:before="20" w:after="20"/>
              <w:jc w:val="center"/>
            </w:pPr>
            <w:r>
              <w:rPr>
                <w:color w:val="404040"/>
                <w:sz w:val="18"/>
                <w:szCs w:val="18"/>
              </w:rPr>
              <w:t>0.37</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AC0CA5C"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1200FE7" w14:textId="77777777" w:rsidR="006052A5" w:rsidRDefault="00000000">
            <w:pPr>
              <w:spacing w:before="20" w:after="20"/>
              <w:jc w:val="center"/>
            </w:pPr>
            <w:r>
              <w:rPr>
                <w:color w:val="404040"/>
                <w:sz w:val="18"/>
                <w:szCs w:val="18"/>
              </w:rPr>
              <w:t>100%</w:t>
            </w:r>
          </w:p>
        </w:tc>
      </w:tr>
      <w:tr w:rsidR="006052A5" w14:paraId="4C7112D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E6E1F3" w14:textId="77777777" w:rsidR="006052A5" w:rsidRDefault="00000000">
            <w:pPr>
              <w:spacing w:before="20" w:after="20"/>
              <w:jc w:val="center"/>
            </w:pPr>
            <w:r>
              <w:rPr>
                <w:color w:val="404040"/>
                <w:sz w:val="18"/>
                <w:szCs w:val="18"/>
              </w:rPr>
              <w:t>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772AB4" w14:textId="77777777" w:rsidR="006052A5" w:rsidRDefault="00000000">
            <w:pPr>
              <w:spacing w:before="20" w:after="20"/>
            </w:pPr>
            <w:r>
              <w:rPr>
                <w:color w:val="404040"/>
                <w:sz w:val="18"/>
                <w:szCs w:val="18"/>
              </w:rPr>
              <w:t>Planning and adapting teaching to different levels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AE05CB" w14:textId="77777777" w:rsidR="006052A5" w:rsidRDefault="00000000">
            <w:pPr>
              <w:spacing w:before="20" w:after="20"/>
              <w:jc w:val="center"/>
            </w:pPr>
            <w:r>
              <w:rPr>
                <w:color w:val="404040"/>
                <w:sz w:val="18"/>
                <w:szCs w:val="18"/>
              </w:rPr>
              <w:t>3.84</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2124C0" w14:textId="77777777" w:rsidR="006052A5" w:rsidRDefault="00000000">
            <w:pPr>
              <w:spacing w:before="20" w:after="20"/>
              <w:jc w:val="center"/>
            </w:pPr>
            <w:r>
              <w:rPr>
                <w:color w:val="404040"/>
                <w:sz w:val="18"/>
                <w:szCs w:val="18"/>
              </w:rPr>
              <w:t>0.47</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8B91B8"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6233FC" w14:textId="77777777" w:rsidR="006052A5" w:rsidRDefault="00000000">
            <w:pPr>
              <w:spacing w:before="20" w:after="20"/>
              <w:jc w:val="center"/>
            </w:pPr>
            <w:r>
              <w:rPr>
                <w:color w:val="404040"/>
                <w:sz w:val="18"/>
                <w:szCs w:val="18"/>
              </w:rPr>
              <w:t>96%</w:t>
            </w:r>
          </w:p>
        </w:tc>
      </w:tr>
      <w:tr w:rsidR="006052A5" w14:paraId="799EA68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8ED19E7" w14:textId="77777777" w:rsidR="006052A5" w:rsidRDefault="00000000">
            <w:pPr>
              <w:spacing w:before="20" w:after="20"/>
              <w:jc w:val="center"/>
            </w:pPr>
            <w:r>
              <w:rPr>
                <w:color w:val="404040"/>
                <w:sz w:val="18"/>
                <w:szCs w:val="18"/>
              </w:rPr>
              <w:t>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B076B31" w14:textId="77777777" w:rsidR="006052A5" w:rsidRDefault="00000000">
            <w:pPr>
              <w:spacing w:before="20" w:after="20"/>
            </w:pPr>
            <w:r>
              <w:rPr>
                <w:color w:val="404040"/>
                <w:sz w:val="18"/>
                <w:szCs w:val="18"/>
              </w:rPr>
              <w:t>Using research-based practice and teaching strategies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6A7FA16" w14:textId="77777777" w:rsidR="006052A5" w:rsidRDefault="00000000">
            <w:pPr>
              <w:spacing w:before="20" w:after="20"/>
              <w:jc w:val="center"/>
            </w:pPr>
            <w:r>
              <w:rPr>
                <w:color w:val="404040"/>
                <w:sz w:val="18"/>
                <w:szCs w:val="18"/>
              </w:rPr>
              <w:t>3.84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531FC2E" w14:textId="77777777" w:rsidR="006052A5" w:rsidRDefault="00000000">
            <w:pPr>
              <w:spacing w:before="20" w:after="20"/>
              <w:jc w:val="center"/>
            </w:pPr>
            <w:r>
              <w:rPr>
                <w:color w:val="404040"/>
                <w:sz w:val="18"/>
                <w:szCs w:val="18"/>
              </w:rPr>
              <w:t>0.37</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9A4308C"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AE761C5" w14:textId="77777777" w:rsidR="006052A5" w:rsidRDefault="00000000">
            <w:pPr>
              <w:spacing w:before="20" w:after="20"/>
              <w:jc w:val="center"/>
            </w:pPr>
            <w:r>
              <w:rPr>
                <w:color w:val="404040"/>
                <w:sz w:val="18"/>
                <w:szCs w:val="18"/>
              </w:rPr>
              <w:t>100%</w:t>
            </w:r>
          </w:p>
        </w:tc>
      </w:tr>
      <w:tr w:rsidR="006052A5" w14:paraId="7FE18D7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6721FE" w14:textId="77777777" w:rsidR="006052A5" w:rsidRDefault="00000000">
            <w:pPr>
              <w:spacing w:before="20" w:after="20"/>
              <w:jc w:val="center"/>
            </w:pPr>
            <w:r>
              <w:rPr>
                <w:color w:val="404040"/>
                <w:sz w:val="18"/>
                <w:szCs w:val="18"/>
              </w:rPr>
              <w:t>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8FF9D8" w14:textId="77777777" w:rsidR="006052A5" w:rsidRDefault="00000000">
            <w:pPr>
              <w:spacing w:before="20" w:after="20"/>
            </w:pPr>
            <w:r>
              <w:rPr>
                <w:color w:val="404040"/>
                <w:sz w:val="18"/>
                <w:szCs w:val="18"/>
              </w:rPr>
              <w:t>Creating a positive learning environment</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70B4E1"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D7D450"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F8B9DB"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FEFA9F" w14:textId="77777777" w:rsidR="006052A5" w:rsidRDefault="00000000">
            <w:pPr>
              <w:spacing w:before="20" w:after="20"/>
              <w:jc w:val="center"/>
            </w:pPr>
            <w:r>
              <w:rPr>
                <w:color w:val="404040"/>
                <w:sz w:val="18"/>
                <w:szCs w:val="18"/>
              </w:rPr>
              <w:t>100%</w:t>
            </w:r>
          </w:p>
        </w:tc>
      </w:tr>
      <w:tr w:rsidR="006052A5" w14:paraId="6B8A64B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AFCD0B2" w14:textId="77777777" w:rsidR="006052A5" w:rsidRDefault="00000000">
            <w:pPr>
              <w:spacing w:before="20" w:after="20"/>
              <w:jc w:val="center"/>
            </w:pPr>
            <w:r>
              <w:rPr>
                <w:color w:val="404040"/>
                <w:sz w:val="18"/>
                <w:szCs w:val="18"/>
              </w:rPr>
              <w:t>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FDEF4A3" w14:textId="77777777" w:rsidR="006052A5" w:rsidRDefault="00000000">
            <w:pPr>
              <w:spacing w:before="20" w:after="20"/>
            </w:pPr>
            <w:r>
              <w:rPr>
                <w:color w:val="404040"/>
                <w:sz w:val="18"/>
                <w:szCs w:val="18"/>
              </w:rPr>
              <w:t>Communicating effectively in Spanish</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75BDEFE"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A867E95" w14:textId="77777777" w:rsidR="006052A5" w:rsidRDefault="00000000">
            <w:pPr>
              <w:spacing w:before="20" w:after="20"/>
              <w:jc w:val="center"/>
            </w:pPr>
            <w:r>
              <w:rPr>
                <w:color w:val="404040"/>
                <w:sz w:val="18"/>
                <w:szCs w:val="18"/>
              </w:rPr>
              <w:t>0.44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4B2D879"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C27523A" w14:textId="77777777" w:rsidR="006052A5" w:rsidRDefault="00000000">
            <w:pPr>
              <w:spacing w:before="20" w:after="20"/>
              <w:jc w:val="center"/>
            </w:pPr>
            <w:r>
              <w:rPr>
                <w:color w:val="404040"/>
                <w:sz w:val="18"/>
                <w:szCs w:val="18"/>
              </w:rPr>
              <w:t>96%</w:t>
            </w:r>
          </w:p>
        </w:tc>
      </w:tr>
      <w:tr w:rsidR="006052A5" w14:paraId="484ED53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46C508" w14:textId="77777777" w:rsidR="006052A5" w:rsidRDefault="00000000">
            <w:pPr>
              <w:spacing w:before="20" w:after="20"/>
              <w:jc w:val="center"/>
            </w:pPr>
            <w:r>
              <w:rPr>
                <w:color w:val="404040"/>
                <w:sz w:val="18"/>
                <w:szCs w:val="18"/>
              </w:rPr>
              <w:t>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0183D2" w14:textId="77777777" w:rsidR="006052A5" w:rsidRDefault="00000000">
            <w:pPr>
              <w:spacing w:before="20" w:after="20"/>
            </w:pPr>
            <w:r>
              <w:rPr>
                <w:color w:val="404040"/>
                <w:sz w:val="18"/>
                <w:szCs w:val="18"/>
              </w:rPr>
              <w:t>Communicating effectively in English</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2AE6CF" w14:textId="77777777" w:rsidR="006052A5" w:rsidRDefault="00000000">
            <w:pPr>
              <w:spacing w:before="20" w:after="20"/>
              <w:jc w:val="center"/>
            </w:pPr>
            <w:r>
              <w:rPr>
                <w:color w:val="404040"/>
                <w:sz w:val="18"/>
                <w:szCs w:val="18"/>
              </w:rPr>
              <w:t>3.60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E54CAB" w14:textId="77777777" w:rsidR="006052A5" w:rsidRDefault="00000000">
            <w:pPr>
              <w:spacing w:before="20" w:after="20"/>
              <w:jc w:val="center"/>
            </w:pPr>
            <w:r>
              <w:rPr>
                <w:color w:val="404040"/>
                <w:sz w:val="18"/>
                <w:szCs w:val="18"/>
              </w:rPr>
              <w:t>0.71</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BB222D"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1ADAF5" w14:textId="77777777" w:rsidR="006052A5" w:rsidRDefault="00000000">
            <w:pPr>
              <w:spacing w:before="20" w:after="20"/>
              <w:jc w:val="center"/>
            </w:pPr>
            <w:r>
              <w:rPr>
                <w:color w:val="404040"/>
                <w:sz w:val="18"/>
                <w:szCs w:val="18"/>
              </w:rPr>
              <w:t>96%</w:t>
            </w:r>
          </w:p>
        </w:tc>
      </w:tr>
      <w:tr w:rsidR="006052A5" w14:paraId="70874F4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355EA75" w14:textId="77777777" w:rsidR="006052A5" w:rsidRDefault="00000000">
            <w:pPr>
              <w:spacing w:before="20" w:after="20"/>
              <w:jc w:val="center"/>
            </w:pPr>
            <w:r>
              <w:rPr>
                <w:color w:val="404040"/>
                <w:sz w:val="18"/>
                <w:szCs w:val="18"/>
              </w:rPr>
              <w:t>8</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21057AE" w14:textId="77777777" w:rsidR="006052A5" w:rsidRDefault="00000000">
            <w:pPr>
              <w:spacing w:before="20" w:after="20"/>
            </w:pPr>
            <w:r>
              <w:rPr>
                <w:color w:val="404040"/>
                <w:sz w:val="18"/>
                <w:szCs w:val="18"/>
              </w:rPr>
              <w:t>Integrating educational technologies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8008B80" w14:textId="77777777" w:rsidR="006052A5" w:rsidRDefault="00000000">
            <w:pPr>
              <w:spacing w:before="20" w:after="20"/>
              <w:jc w:val="center"/>
            </w:pPr>
            <w:r>
              <w:rPr>
                <w:color w:val="404040"/>
                <w:sz w:val="18"/>
                <w:szCs w:val="18"/>
              </w:rPr>
              <w:t>3.84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7F46672" w14:textId="77777777" w:rsidR="006052A5" w:rsidRDefault="00000000">
            <w:pPr>
              <w:spacing w:before="20" w:after="20"/>
              <w:jc w:val="center"/>
            </w:pPr>
            <w:r>
              <w:rPr>
                <w:color w:val="404040"/>
                <w:sz w:val="18"/>
                <w:szCs w:val="18"/>
              </w:rPr>
              <w:t>0.47</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60AFF0D"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EE7752E" w14:textId="77777777" w:rsidR="006052A5" w:rsidRDefault="00000000">
            <w:pPr>
              <w:spacing w:before="20" w:after="20"/>
              <w:jc w:val="center"/>
            </w:pPr>
            <w:r>
              <w:rPr>
                <w:color w:val="404040"/>
                <w:sz w:val="18"/>
                <w:szCs w:val="18"/>
              </w:rPr>
              <w:t>96%</w:t>
            </w:r>
          </w:p>
        </w:tc>
      </w:tr>
      <w:tr w:rsidR="006052A5" w14:paraId="4000C0D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F97ABD" w14:textId="77777777" w:rsidR="006052A5" w:rsidRDefault="00000000">
            <w:pPr>
              <w:spacing w:before="20" w:after="20"/>
              <w:jc w:val="center"/>
            </w:pPr>
            <w:r>
              <w:rPr>
                <w:color w:val="404040"/>
                <w:sz w:val="18"/>
                <w:szCs w:val="18"/>
              </w:rPr>
              <w:t>9</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E6689F" w14:textId="77777777" w:rsidR="006052A5" w:rsidRDefault="00000000">
            <w:pPr>
              <w:spacing w:before="20" w:after="20"/>
            </w:pPr>
            <w:r>
              <w:rPr>
                <w:color w:val="404040"/>
                <w:sz w:val="18"/>
                <w:szCs w:val="18"/>
              </w:rPr>
              <w:t>Using assessment strategies and evaluation instruments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486BEF"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61974D" w14:textId="77777777" w:rsidR="006052A5" w:rsidRDefault="00000000">
            <w:pPr>
              <w:spacing w:before="20" w:after="20"/>
              <w:jc w:val="center"/>
            </w:pPr>
            <w:r>
              <w:rPr>
                <w:color w:val="404040"/>
                <w:sz w:val="18"/>
                <w:szCs w:val="18"/>
              </w:rPr>
              <w:t>0.50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F638E5"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F16D73" w14:textId="77777777" w:rsidR="006052A5" w:rsidRDefault="00000000">
            <w:pPr>
              <w:spacing w:before="20" w:after="20"/>
              <w:jc w:val="center"/>
            </w:pPr>
            <w:r>
              <w:rPr>
                <w:color w:val="404040"/>
                <w:sz w:val="18"/>
                <w:szCs w:val="18"/>
              </w:rPr>
              <w:t>96%</w:t>
            </w:r>
          </w:p>
        </w:tc>
      </w:tr>
      <w:tr w:rsidR="006052A5" w14:paraId="2CC266AF"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7F235A4" w14:textId="77777777" w:rsidR="006052A5" w:rsidRDefault="00000000">
            <w:pPr>
              <w:spacing w:before="20" w:after="20"/>
              <w:jc w:val="center"/>
            </w:pPr>
            <w:r>
              <w:rPr>
                <w:color w:val="404040"/>
                <w:sz w:val="18"/>
                <w:szCs w:val="18"/>
              </w:rPr>
              <w:t>10</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200D05D" w14:textId="77777777" w:rsidR="006052A5" w:rsidRDefault="00000000">
            <w:pPr>
              <w:spacing w:before="20" w:after="20"/>
            </w:pPr>
            <w:r>
              <w:rPr>
                <w:color w:val="404040"/>
                <w:sz w:val="18"/>
                <w:szCs w:val="18"/>
              </w:rPr>
              <w:t>Building positive relationships with colleagues and students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44635F6" w14:textId="77777777" w:rsidR="006052A5"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490DE5B" w14:textId="77777777" w:rsidR="006052A5"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4AF278C"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E8CDB35" w14:textId="77777777" w:rsidR="006052A5" w:rsidRDefault="00000000">
            <w:pPr>
              <w:spacing w:before="20" w:after="20"/>
              <w:jc w:val="center"/>
            </w:pPr>
            <w:r>
              <w:rPr>
                <w:color w:val="404040"/>
                <w:sz w:val="18"/>
                <w:szCs w:val="18"/>
              </w:rPr>
              <w:t>100%</w:t>
            </w:r>
          </w:p>
        </w:tc>
      </w:tr>
      <w:tr w:rsidR="006052A5" w14:paraId="210D349D"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EA06BD" w14:textId="77777777" w:rsidR="006052A5" w:rsidRDefault="00000000">
            <w:pPr>
              <w:spacing w:before="20" w:after="20"/>
              <w:jc w:val="center"/>
            </w:pPr>
            <w:r>
              <w:rPr>
                <w:color w:val="404040"/>
                <w:sz w:val="18"/>
                <w:szCs w:val="18"/>
              </w:rPr>
              <w:t>11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115F39" w14:textId="77777777" w:rsidR="006052A5" w:rsidRDefault="00000000">
            <w:pPr>
              <w:spacing w:before="20" w:after="20"/>
            </w:pPr>
            <w:r>
              <w:rPr>
                <w:color w:val="404040"/>
                <w:sz w:val="18"/>
                <w:szCs w:val="18"/>
              </w:rPr>
              <w:t>Engaging in professional organizations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7ECA07"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192A7C" w14:textId="77777777" w:rsidR="006052A5" w:rsidRDefault="00000000">
            <w:pPr>
              <w:spacing w:before="20" w:after="20"/>
              <w:jc w:val="center"/>
            </w:pPr>
            <w:r>
              <w:rPr>
                <w:color w:val="404040"/>
                <w:sz w:val="18"/>
                <w:szCs w:val="18"/>
              </w:rPr>
              <w:t>0.50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7FBCDF"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7DB171" w14:textId="77777777" w:rsidR="006052A5" w:rsidRDefault="00000000">
            <w:pPr>
              <w:spacing w:before="20" w:after="20"/>
              <w:jc w:val="center"/>
            </w:pPr>
            <w:r>
              <w:rPr>
                <w:color w:val="404040"/>
                <w:sz w:val="18"/>
                <w:szCs w:val="18"/>
              </w:rPr>
              <w:t>96%</w:t>
            </w:r>
          </w:p>
        </w:tc>
      </w:tr>
    </w:tbl>
    <w:p w14:paraId="12A8288E" w14:textId="77777777" w:rsidR="006052A5" w:rsidRDefault="006052A5">
      <w:pPr>
        <w:spacing w:before="40" w:after="40"/>
      </w:pPr>
    </w:p>
    <w:p w14:paraId="582887EE" w14:textId="77777777" w:rsidR="006052A5" w:rsidRDefault="00000000">
      <w:pPr>
        <w:spacing w:before="80" w:after="80" w:line="276" w:lineRule="auto"/>
      </w:pPr>
      <w:r>
        <w:rPr>
          <w:color w:val="404040"/>
        </w:rPr>
        <w:t>Strengths: Building positive relationships (M = 4.00) and content understanding, positive learning environment, and Spanish communication (M = 3.88 each) received the highest ratings. Area for improvement: English communication (M = 3.60, SD = 0.71) showed the most variability and the lowest mean in this domain.</w:t>
      </w:r>
    </w:p>
    <w:p w14:paraId="25F3A614" w14:textId="77777777" w:rsidR="006052A5" w:rsidRDefault="00000000">
      <w:r>
        <w:br w:type="page"/>
      </w:r>
    </w:p>
    <w:p w14:paraId="0F372755" w14:textId="77777777" w:rsidR="006052A5" w:rsidRDefault="00000000">
      <w:pPr>
        <w:pStyle w:val="Heading2"/>
      </w:pPr>
      <w:r>
        <w:lastRenderedPageBreak/>
        <w:t>3.3 Domain 2: Professional Dispositions</w:t>
      </w:r>
    </w:p>
    <w:p w14:paraId="51ECA817" w14:textId="77777777" w:rsidR="006052A5" w:rsidRDefault="00000000">
      <w:pPr>
        <w:spacing w:before="80" w:after="80" w:line="276" w:lineRule="auto"/>
      </w:pPr>
      <w:r>
        <w:rPr>
          <w:color w:val="404040"/>
        </w:rPr>
        <w:t>This domain includes 42 items organized into sub-areas: Learner Diversity (7 items), Learning Environment (5 items), Content Knowledge Application (7 items), Assessment (6 items), Planning (4 items), and Professional Responsibility (13 items). Domain mean: 3.89 (SD = 0.34), with 99.2% at the acceptable level.</w:t>
      </w:r>
    </w:p>
    <w:p w14:paraId="7EF96DBE" w14:textId="77777777" w:rsidR="006052A5" w:rsidRDefault="00000000">
      <w:pPr>
        <w:spacing w:before="200" w:after="120"/>
      </w:pPr>
      <w:r>
        <w:rPr>
          <w:b/>
          <w:bCs/>
          <w:color w:val="1F3864"/>
          <w:sz w:val="22"/>
          <w:szCs w:val="22"/>
        </w:rPr>
        <w:t>Learner Diversity (Items 1–7)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
        <w:gridCol w:w="4471"/>
        <w:gridCol w:w="1095"/>
        <w:gridCol w:w="1093"/>
        <w:gridCol w:w="1092"/>
        <w:gridCol w:w="1161"/>
      </w:tblGrid>
      <w:tr w:rsidR="006052A5" w14:paraId="14A71D3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1F407BC" w14:textId="77777777" w:rsidR="006052A5"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9D99EEC" w14:textId="77777777" w:rsidR="006052A5"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CB2A597" w14:textId="77777777" w:rsidR="006052A5"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C87743D" w14:textId="77777777" w:rsidR="006052A5"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3830E97" w14:textId="77777777" w:rsidR="006052A5"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5D3AD2B" w14:textId="77777777" w:rsidR="006052A5" w:rsidRDefault="00000000">
            <w:pPr>
              <w:jc w:val="center"/>
            </w:pPr>
            <w:r>
              <w:rPr>
                <w:b/>
                <w:bCs/>
                <w:color w:val="FFFFFF"/>
                <w:sz w:val="18"/>
                <w:szCs w:val="18"/>
              </w:rPr>
              <w:t>% Acceptable</w:t>
            </w:r>
          </w:p>
        </w:tc>
      </w:tr>
      <w:tr w:rsidR="006052A5" w14:paraId="4FF60F8B"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17C115" w14:textId="77777777" w:rsidR="006052A5" w:rsidRDefault="00000000">
            <w:pPr>
              <w:spacing w:before="20" w:after="20"/>
              <w:jc w:val="center"/>
            </w:pPr>
            <w:r>
              <w:rPr>
                <w:color w:val="404040"/>
                <w:sz w:val="18"/>
                <w:szCs w:val="18"/>
              </w:rPr>
              <w:t>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572C21" w14:textId="77777777" w:rsidR="006052A5" w:rsidRDefault="00000000">
            <w:pPr>
              <w:spacing w:before="20" w:after="20"/>
            </w:pPr>
            <w:r>
              <w:rPr>
                <w:color w:val="404040"/>
                <w:sz w:val="18"/>
                <w:szCs w:val="18"/>
              </w:rPr>
              <w:t>Respecting learners' differing strengths and learning needs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44BE3D" w14:textId="77777777" w:rsidR="006052A5"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42F23F" w14:textId="77777777" w:rsidR="006052A5"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540453"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36A8C9" w14:textId="77777777" w:rsidR="006052A5" w:rsidRDefault="00000000">
            <w:pPr>
              <w:spacing w:before="20" w:after="20"/>
              <w:jc w:val="center"/>
            </w:pPr>
            <w:r>
              <w:rPr>
                <w:color w:val="404040"/>
                <w:sz w:val="18"/>
                <w:szCs w:val="18"/>
              </w:rPr>
              <w:t>100%</w:t>
            </w:r>
          </w:p>
        </w:tc>
      </w:tr>
      <w:tr w:rsidR="006052A5" w14:paraId="7562887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DBF303F" w14:textId="77777777" w:rsidR="006052A5" w:rsidRDefault="00000000">
            <w:pPr>
              <w:spacing w:before="20" w:after="20"/>
              <w:jc w:val="center"/>
            </w:pPr>
            <w:r>
              <w:rPr>
                <w:color w:val="404040"/>
                <w:sz w:val="18"/>
                <w:szCs w:val="18"/>
              </w:rPr>
              <w:t>2</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AAAB82E" w14:textId="77777777" w:rsidR="006052A5" w:rsidRDefault="00000000">
            <w:pPr>
              <w:spacing w:before="20" w:after="20"/>
            </w:pPr>
            <w:r>
              <w:rPr>
                <w:color w:val="404040"/>
                <w:sz w:val="18"/>
                <w:szCs w:val="18"/>
              </w:rPr>
              <w:t>Using learners' strengths as a basis for growth</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26887A4" w14:textId="77777777" w:rsidR="006052A5" w:rsidRDefault="00000000">
            <w:pPr>
              <w:spacing w:before="20" w:after="20"/>
              <w:jc w:val="center"/>
            </w:pPr>
            <w:r>
              <w:rPr>
                <w:color w:val="404040"/>
                <w:sz w:val="18"/>
                <w:szCs w:val="18"/>
              </w:rPr>
              <w:t>3.96</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F286AA2" w14:textId="77777777" w:rsidR="006052A5" w:rsidRDefault="00000000">
            <w:pPr>
              <w:spacing w:before="20" w:after="20"/>
              <w:jc w:val="center"/>
            </w:pPr>
            <w:r>
              <w:rPr>
                <w:color w:val="404040"/>
                <w:sz w:val="18"/>
                <w:szCs w:val="18"/>
              </w:rPr>
              <w:t>0.20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C8F8A56"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9BAFC01" w14:textId="77777777" w:rsidR="006052A5" w:rsidRDefault="00000000">
            <w:pPr>
              <w:spacing w:before="20" w:after="20"/>
              <w:jc w:val="center"/>
            </w:pPr>
            <w:r>
              <w:rPr>
                <w:color w:val="404040"/>
                <w:sz w:val="18"/>
                <w:szCs w:val="18"/>
              </w:rPr>
              <w:t>100%</w:t>
            </w:r>
          </w:p>
        </w:tc>
      </w:tr>
      <w:tr w:rsidR="006052A5" w14:paraId="17805D69"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19BF07" w14:textId="77777777" w:rsidR="006052A5" w:rsidRDefault="00000000">
            <w:pPr>
              <w:spacing w:before="20" w:after="20"/>
              <w:jc w:val="center"/>
            </w:pPr>
            <w:r>
              <w:rPr>
                <w:color w:val="404040"/>
                <w:sz w:val="18"/>
                <w:szCs w:val="18"/>
              </w:rPr>
              <w:t>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C2572B" w14:textId="77777777" w:rsidR="006052A5" w:rsidRDefault="00000000">
            <w:pPr>
              <w:spacing w:before="20" w:after="20"/>
            </w:pPr>
            <w:r>
              <w:rPr>
                <w:color w:val="404040"/>
                <w:sz w:val="18"/>
                <w:szCs w:val="18"/>
              </w:rPr>
              <w:t>Promoting learners' intellectual, socio-emotional and cultural growth</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96EE79" w14:textId="77777777" w:rsidR="006052A5" w:rsidRDefault="00000000">
            <w:pPr>
              <w:spacing w:before="20" w:after="20"/>
              <w:jc w:val="center"/>
            </w:pPr>
            <w:r>
              <w:rPr>
                <w:color w:val="404040"/>
                <w:sz w:val="18"/>
                <w:szCs w:val="18"/>
              </w:rPr>
              <w:t>3.96</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47A0B3" w14:textId="77777777" w:rsidR="006052A5" w:rsidRDefault="00000000">
            <w:pPr>
              <w:spacing w:before="20" w:after="20"/>
              <w:jc w:val="center"/>
            </w:pPr>
            <w:r>
              <w:rPr>
                <w:color w:val="404040"/>
                <w:sz w:val="18"/>
                <w:szCs w:val="18"/>
              </w:rPr>
              <w:t>0.20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ECDFE6"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565178" w14:textId="77777777" w:rsidR="006052A5" w:rsidRDefault="00000000">
            <w:pPr>
              <w:spacing w:before="20" w:after="20"/>
              <w:jc w:val="center"/>
            </w:pPr>
            <w:r>
              <w:rPr>
                <w:color w:val="404040"/>
                <w:sz w:val="18"/>
                <w:szCs w:val="18"/>
              </w:rPr>
              <w:t>100%</w:t>
            </w:r>
          </w:p>
        </w:tc>
      </w:tr>
      <w:tr w:rsidR="006052A5" w14:paraId="6395CDFB"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28C3F84" w14:textId="77777777" w:rsidR="006052A5" w:rsidRDefault="00000000">
            <w:pPr>
              <w:spacing w:before="20" w:after="20"/>
              <w:jc w:val="center"/>
            </w:pPr>
            <w:r>
              <w:rPr>
                <w:color w:val="404040"/>
                <w:sz w:val="18"/>
                <w:szCs w:val="18"/>
              </w:rPr>
              <w:t>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96D7189" w14:textId="77777777" w:rsidR="006052A5" w:rsidRDefault="00000000">
            <w:pPr>
              <w:spacing w:before="20" w:after="20"/>
            </w:pPr>
            <w:r>
              <w:rPr>
                <w:color w:val="404040"/>
                <w:sz w:val="18"/>
                <w:szCs w:val="18"/>
              </w:rPr>
              <w:t>Valuing the input of families and colleagues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6A972A9" w14:textId="77777777" w:rsidR="006052A5"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DA0615D" w14:textId="77777777" w:rsidR="006052A5"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CC3E773"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2932F9A" w14:textId="77777777" w:rsidR="006052A5" w:rsidRDefault="00000000">
            <w:pPr>
              <w:spacing w:before="20" w:after="20"/>
              <w:jc w:val="center"/>
            </w:pPr>
            <w:r>
              <w:rPr>
                <w:color w:val="404040"/>
                <w:sz w:val="18"/>
                <w:szCs w:val="18"/>
              </w:rPr>
              <w:t>100%</w:t>
            </w:r>
          </w:p>
        </w:tc>
      </w:tr>
      <w:tr w:rsidR="006052A5" w14:paraId="6C1A874E"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0C0861" w14:textId="77777777" w:rsidR="006052A5" w:rsidRDefault="00000000">
            <w:pPr>
              <w:spacing w:before="20" w:after="20"/>
              <w:jc w:val="center"/>
            </w:pPr>
            <w:r>
              <w:rPr>
                <w:color w:val="404040"/>
                <w:sz w:val="18"/>
                <w:szCs w:val="18"/>
              </w:rPr>
              <w:t>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AA34D3" w14:textId="77777777" w:rsidR="006052A5" w:rsidRDefault="00000000">
            <w:pPr>
              <w:spacing w:before="20" w:after="20"/>
            </w:pPr>
            <w:r>
              <w:rPr>
                <w:color w:val="404040"/>
                <w:sz w:val="18"/>
                <w:szCs w:val="18"/>
              </w:rPr>
              <w:t>Establishing and maintaining high expectations for learners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B95659"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326A0D"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1B46C4"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76C96F" w14:textId="77777777" w:rsidR="006052A5" w:rsidRDefault="00000000">
            <w:pPr>
              <w:spacing w:before="20" w:after="20"/>
              <w:jc w:val="center"/>
            </w:pPr>
            <w:r>
              <w:rPr>
                <w:color w:val="404040"/>
                <w:sz w:val="18"/>
                <w:szCs w:val="18"/>
              </w:rPr>
              <w:t>100%</w:t>
            </w:r>
          </w:p>
        </w:tc>
      </w:tr>
      <w:tr w:rsidR="006052A5" w14:paraId="3FFE1F8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0C5AF53" w14:textId="77777777" w:rsidR="006052A5" w:rsidRDefault="00000000">
            <w:pPr>
              <w:spacing w:before="20" w:after="20"/>
              <w:jc w:val="center"/>
            </w:pPr>
            <w:r>
              <w:rPr>
                <w:color w:val="404040"/>
                <w:sz w:val="18"/>
                <w:szCs w:val="18"/>
              </w:rPr>
              <w:t>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AE3E3E2" w14:textId="77777777" w:rsidR="006052A5" w:rsidRDefault="00000000">
            <w:pPr>
              <w:spacing w:before="20" w:after="20"/>
            </w:pPr>
            <w:r>
              <w:rPr>
                <w:color w:val="404040"/>
                <w:sz w:val="18"/>
                <w:szCs w:val="18"/>
              </w:rPr>
              <w:t>Respecting learners as individuals with differing backgrounds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3AA420D" w14:textId="77777777" w:rsidR="006052A5"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5B4A43E" w14:textId="77777777" w:rsidR="006052A5"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E0DCF38"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2D35203" w14:textId="77777777" w:rsidR="006052A5" w:rsidRDefault="00000000">
            <w:pPr>
              <w:spacing w:before="20" w:after="20"/>
              <w:jc w:val="center"/>
            </w:pPr>
            <w:r>
              <w:rPr>
                <w:color w:val="404040"/>
                <w:sz w:val="18"/>
                <w:szCs w:val="18"/>
              </w:rPr>
              <w:t>100%</w:t>
            </w:r>
          </w:p>
        </w:tc>
      </w:tr>
      <w:tr w:rsidR="006052A5" w14:paraId="53327F4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0D0B43" w14:textId="77777777" w:rsidR="006052A5" w:rsidRDefault="00000000">
            <w:pPr>
              <w:spacing w:before="20" w:after="20"/>
              <w:jc w:val="center"/>
            </w:pPr>
            <w:r>
              <w:rPr>
                <w:color w:val="404040"/>
                <w:sz w:val="18"/>
                <w:szCs w:val="18"/>
              </w:rPr>
              <w:t>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75D52A" w14:textId="77777777" w:rsidR="006052A5" w:rsidRDefault="00000000">
            <w:pPr>
              <w:spacing w:before="20" w:after="20"/>
            </w:pPr>
            <w:r>
              <w:rPr>
                <w:color w:val="404040"/>
                <w:sz w:val="18"/>
                <w:szCs w:val="18"/>
              </w:rPr>
              <w:t>Helping learners feel valued and learn to value each other</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7FA592" w14:textId="77777777" w:rsidR="006052A5"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FF8883" w14:textId="77777777" w:rsidR="006052A5"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24E574"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836125" w14:textId="77777777" w:rsidR="006052A5" w:rsidRDefault="00000000">
            <w:pPr>
              <w:spacing w:before="20" w:after="20"/>
              <w:jc w:val="center"/>
            </w:pPr>
            <w:r>
              <w:rPr>
                <w:color w:val="404040"/>
                <w:sz w:val="18"/>
                <w:szCs w:val="18"/>
              </w:rPr>
              <w:t>100%</w:t>
            </w:r>
          </w:p>
        </w:tc>
      </w:tr>
    </w:tbl>
    <w:p w14:paraId="534A1239" w14:textId="77777777" w:rsidR="006052A5" w:rsidRDefault="006052A5">
      <w:pPr>
        <w:spacing w:before="40" w:after="40"/>
      </w:pPr>
    </w:p>
    <w:p w14:paraId="5BA9F477" w14:textId="77777777" w:rsidR="006052A5" w:rsidRDefault="00000000">
      <w:pPr>
        <w:spacing w:before="80" w:after="80" w:line="276" w:lineRule="auto"/>
      </w:pPr>
      <w:r>
        <w:rPr>
          <w:color w:val="404040"/>
        </w:rPr>
        <w:t>Items in this sub-area achieved near-perfect scores, with four items reaching the maximum mean of 4.00. This reflects a strong commitment to respecting and valuing learner diversity.</w:t>
      </w:r>
    </w:p>
    <w:p w14:paraId="22145851" w14:textId="77777777" w:rsidR="006052A5" w:rsidRDefault="00000000">
      <w:pPr>
        <w:spacing w:before="200" w:after="120"/>
      </w:pPr>
      <w:r>
        <w:rPr>
          <w:b/>
          <w:bCs/>
          <w:color w:val="1F3864"/>
          <w:sz w:val="22"/>
          <w:szCs w:val="22"/>
        </w:rPr>
        <w:t>Learning Environment (Items 8–12)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
        <w:gridCol w:w="4471"/>
        <w:gridCol w:w="1094"/>
        <w:gridCol w:w="1093"/>
        <w:gridCol w:w="1091"/>
        <w:gridCol w:w="1161"/>
      </w:tblGrid>
      <w:tr w:rsidR="006052A5" w14:paraId="16C8EBA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18CE22A" w14:textId="77777777" w:rsidR="006052A5"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4CD045B" w14:textId="77777777" w:rsidR="006052A5"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82CD926" w14:textId="77777777" w:rsidR="006052A5"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B934DBA" w14:textId="77777777" w:rsidR="006052A5"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D199C45" w14:textId="77777777" w:rsidR="006052A5"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A8CCE08" w14:textId="77777777" w:rsidR="006052A5" w:rsidRDefault="00000000">
            <w:pPr>
              <w:jc w:val="center"/>
            </w:pPr>
            <w:r>
              <w:rPr>
                <w:b/>
                <w:bCs/>
                <w:color w:val="FFFFFF"/>
                <w:sz w:val="18"/>
                <w:szCs w:val="18"/>
              </w:rPr>
              <w:t>% Acceptable</w:t>
            </w:r>
          </w:p>
        </w:tc>
      </w:tr>
      <w:tr w:rsidR="006052A5" w14:paraId="6C7C016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042BC6" w14:textId="77777777" w:rsidR="006052A5" w:rsidRDefault="00000000">
            <w:pPr>
              <w:spacing w:before="20" w:after="20"/>
              <w:jc w:val="center"/>
            </w:pPr>
            <w:r>
              <w:rPr>
                <w:color w:val="404040"/>
                <w:sz w:val="18"/>
                <w:szCs w:val="18"/>
              </w:rPr>
              <w:t>8</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100BD0" w14:textId="77777777" w:rsidR="006052A5" w:rsidRDefault="00000000">
            <w:pPr>
              <w:spacing w:before="20" w:after="20"/>
            </w:pPr>
            <w:r>
              <w:rPr>
                <w:color w:val="404040"/>
                <w:sz w:val="18"/>
                <w:szCs w:val="18"/>
              </w:rPr>
              <w:t>Establishing positive and supportive learning environments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A2364F" w14:textId="77777777" w:rsidR="006052A5"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0A1F0A" w14:textId="77777777" w:rsidR="006052A5"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5567CD" w14:textId="77777777" w:rsidR="006052A5" w:rsidRDefault="00000000">
            <w:pPr>
              <w:spacing w:before="20" w:after="20"/>
              <w:jc w:val="center"/>
            </w:pPr>
            <w:r>
              <w:rPr>
                <w:color w:val="404040"/>
                <w:sz w:val="18"/>
                <w:szCs w:val="18"/>
              </w:rPr>
              <w:t>24</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7BDA8C" w14:textId="77777777" w:rsidR="006052A5" w:rsidRDefault="00000000">
            <w:pPr>
              <w:spacing w:before="20" w:after="20"/>
              <w:jc w:val="center"/>
            </w:pPr>
            <w:r>
              <w:rPr>
                <w:color w:val="404040"/>
                <w:sz w:val="18"/>
                <w:szCs w:val="18"/>
              </w:rPr>
              <w:t>100%</w:t>
            </w:r>
          </w:p>
        </w:tc>
      </w:tr>
      <w:tr w:rsidR="006052A5" w14:paraId="0BA86C0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C4DBBE1" w14:textId="77777777" w:rsidR="006052A5" w:rsidRDefault="00000000">
            <w:pPr>
              <w:spacing w:before="20" w:after="20"/>
              <w:jc w:val="center"/>
            </w:pPr>
            <w:r>
              <w:rPr>
                <w:color w:val="404040"/>
                <w:sz w:val="18"/>
                <w:szCs w:val="18"/>
              </w:rPr>
              <w:t>9</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D2D9840" w14:textId="77777777" w:rsidR="006052A5" w:rsidRDefault="00000000">
            <w:pPr>
              <w:spacing w:before="20" w:after="20"/>
            </w:pPr>
            <w:r>
              <w:rPr>
                <w:color w:val="404040"/>
                <w:sz w:val="18"/>
                <w:szCs w:val="18"/>
              </w:rPr>
              <w:t>Encouraging students to contribute to one another's learning</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936D6A5" w14:textId="77777777" w:rsidR="006052A5" w:rsidRDefault="00000000">
            <w:pPr>
              <w:spacing w:before="20" w:after="20"/>
              <w:jc w:val="center"/>
            </w:pPr>
            <w:r>
              <w:rPr>
                <w:color w:val="404040"/>
                <w:sz w:val="18"/>
                <w:szCs w:val="18"/>
              </w:rPr>
              <w:t>3.96</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7D55A79" w14:textId="77777777" w:rsidR="006052A5" w:rsidRDefault="00000000">
            <w:pPr>
              <w:spacing w:before="20" w:after="20"/>
              <w:jc w:val="center"/>
            </w:pPr>
            <w:r>
              <w:rPr>
                <w:color w:val="404040"/>
                <w:sz w:val="18"/>
                <w:szCs w:val="18"/>
              </w:rPr>
              <w:t>0.20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EFCA854" w14:textId="77777777" w:rsidR="006052A5" w:rsidRDefault="00000000">
            <w:pPr>
              <w:spacing w:before="20" w:after="20"/>
              <w:jc w:val="center"/>
            </w:pPr>
            <w:r>
              <w:rPr>
                <w:color w:val="404040"/>
                <w:sz w:val="18"/>
                <w:szCs w:val="18"/>
              </w:rPr>
              <w:t>24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DD26638" w14:textId="77777777" w:rsidR="006052A5" w:rsidRDefault="00000000">
            <w:pPr>
              <w:spacing w:before="20" w:after="20"/>
              <w:jc w:val="center"/>
            </w:pPr>
            <w:r>
              <w:rPr>
                <w:color w:val="404040"/>
                <w:sz w:val="18"/>
                <w:szCs w:val="18"/>
              </w:rPr>
              <w:t>100%</w:t>
            </w:r>
          </w:p>
        </w:tc>
      </w:tr>
      <w:tr w:rsidR="006052A5" w14:paraId="79C7029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4521C8" w14:textId="77777777" w:rsidR="006052A5" w:rsidRDefault="00000000">
            <w:pPr>
              <w:spacing w:before="20" w:after="20"/>
              <w:jc w:val="center"/>
            </w:pPr>
            <w:r>
              <w:rPr>
                <w:color w:val="404040"/>
                <w:sz w:val="18"/>
                <w:szCs w:val="18"/>
              </w:rPr>
              <w:t>10</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2DDC50" w14:textId="77777777" w:rsidR="006052A5" w:rsidRDefault="00000000">
            <w:pPr>
              <w:spacing w:before="20" w:after="20"/>
            </w:pPr>
            <w:r>
              <w:rPr>
                <w:color w:val="404040"/>
                <w:sz w:val="18"/>
                <w:szCs w:val="18"/>
              </w:rPr>
              <w:t>Facilitating collaboration and promoting student independence</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6996B3" w14:textId="77777777" w:rsidR="006052A5" w:rsidRDefault="00000000">
            <w:pPr>
              <w:spacing w:before="20" w:after="20"/>
              <w:jc w:val="center"/>
            </w:pPr>
            <w:r>
              <w:rPr>
                <w:color w:val="404040"/>
                <w:sz w:val="18"/>
                <w:szCs w:val="18"/>
              </w:rPr>
              <w:t>3.96</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C6F5E4" w14:textId="77777777" w:rsidR="006052A5" w:rsidRDefault="00000000">
            <w:pPr>
              <w:spacing w:before="20" w:after="20"/>
              <w:jc w:val="center"/>
            </w:pPr>
            <w:r>
              <w:rPr>
                <w:color w:val="404040"/>
                <w:sz w:val="18"/>
                <w:szCs w:val="18"/>
              </w:rPr>
              <w:t>0.20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D413C1" w14:textId="77777777" w:rsidR="006052A5" w:rsidRDefault="00000000">
            <w:pPr>
              <w:spacing w:before="20" w:after="20"/>
              <w:jc w:val="center"/>
            </w:pPr>
            <w:r>
              <w:rPr>
                <w:color w:val="404040"/>
                <w:sz w:val="18"/>
                <w:szCs w:val="18"/>
              </w:rPr>
              <w:t>24</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06AA7A" w14:textId="77777777" w:rsidR="006052A5" w:rsidRDefault="00000000">
            <w:pPr>
              <w:spacing w:before="20" w:after="20"/>
              <w:jc w:val="center"/>
            </w:pPr>
            <w:r>
              <w:rPr>
                <w:color w:val="404040"/>
                <w:sz w:val="18"/>
                <w:szCs w:val="18"/>
              </w:rPr>
              <w:t>100%</w:t>
            </w:r>
          </w:p>
        </w:tc>
      </w:tr>
      <w:tr w:rsidR="006052A5" w14:paraId="2B80CD9D"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2BAD622" w14:textId="77777777" w:rsidR="006052A5" w:rsidRDefault="00000000">
            <w:pPr>
              <w:spacing w:before="20" w:after="20"/>
              <w:jc w:val="center"/>
            </w:pPr>
            <w:r>
              <w:rPr>
                <w:color w:val="404040"/>
                <w:sz w:val="18"/>
                <w:szCs w:val="18"/>
              </w:rPr>
              <w:t>11</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4B5C59F" w14:textId="77777777" w:rsidR="006052A5" w:rsidRDefault="00000000">
            <w:pPr>
              <w:spacing w:before="20" w:after="20"/>
            </w:pPr>
            <w:r>
              <w:rPr>
                <w:color w:val="404040"/>
                <w:sz w:val="18"/>
                <w:szCs w:val="18"/>
              </w:rPr>
              <w:t>Fostering respectful communication among all members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C6B347C" w14:textId="77777777" w:rsidR="006052A5"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7C95D13" w14:textId="77777777" w:rsidR="006052A5"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3048E8D" w14:textId="77777777" w:rsidR="006052A5" w:rsidRDefault="00000000">
            <w:pPr>
              <w:spacing w:before="20" w:after="20"/>
              <w:jc w:val="center"/>
            </w:pPr>
            <w:r>
              <w:rPr>
                <w:color w:val="404040"/>
                <w:sz w:val="18"/>
                <w:szCs w:val="18"/>
              </w:rPr>
              <w:t>24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0DD793C" w14:textId="77777777" w:rsidR="006052A5" w:rsidRDefault="00000000">
            <w:pPr>
              <w:spacing w:before="20" w:after="20"/>
              <w:jc w:val="center"/>
            </w:pPr>
            <w:r>
              <w:rPr>
                <w:color w:val="404040"/>
                <w:sz w:val="18"/>
                <w:szCs w:val="18"/>
              </w:rPr>
              <w:t>100%</w:t>
            </w:r>
          </w:p>
        </w:tc>
      </w:tr>
      <w:tr w:rsidR="006052A5" w14:paraId="00D57B3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5CD036" w14:textId="77777777" w:rsidR="006052A5" w:rsidRDefault="00000000">
            <w:pPr>
              <w:spacing w:before="20" w:after="20"/>
              <w:jc w:val="center"/>
            </w:pPr>
            <w:r>
              <w:rPr>
                <w:color w:val="404040"/>
                <w:sz w:val="18"/>
                <w:szCs w:val="18"/>
              </w:rPr>
              <w:t>12</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AC68BC" w14:textId="77777777" w:rsidR="006052A5" w:rsidRDefault="00000000">
            <w:pPr>
              <w:spacing w:before="20" w:after="20"/>
            </w:pPr>
            <w:r>
              <w:rPr>
                <w:color w:val="404040"/>
                <w:sz w:val="18"/>
                <w:szCs w:val="18"/>
              </w:rPr>
              <w:t>Being a thoughtful and responsive listener and observer</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3AA1DB" w14:textId="77777777" w:rsidR="006052A5"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6012D1" w14:textId="77777777" w:rsidR="006052A5"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BEC7F9" w14:textId="77777777" w:rsidR="006052A5" w:rsidRDefault="00000000">
            <w:pPr>
              <w:spacing w:before="20" w:after="20"/>
              <w:jc w:val="center"/>
            </w:pPr>
            <w:r>
              <w:rPr>
                <w:color w:val="404040"/>
                <w:sz w:val="18"/>
                <w:szCs w:val="18"/>
              </w:rPr>
              <w:t>24</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0A7273" w14:textId="77777777" w:rsidR="006052A5" w:rsidRDefault="00000000">
            <w:pPr>
              <w:spacing w:before="20" w:after="20"/>
              <w:jc w:val="center"/>
            </w:pPr>
            <w:r>
              <w:rPr>
                <w:color w:val="404040"/>
                <w:sz w:val="18"/>
                <w:szCs w:val="18"/>
              </w:rPr>
              <w:t>100%</w:t>
            </w:r>
          </w:p>
        </w:tc>
      </w:tr>
    </w:tbl>
    <w:p w14:paraId="18E409B4" w14:textId="77777777" w:rsidR="006052A5" w:rsidRDefault="006052A5">
      <w:pPr>
        <w:spacing w:before="40" w:after="40"/>
      </w:pPr>
    </w:p>
    <w:p w14:paraId="7F54FE61" w14:textId="77777777" w:rsidR="006052A5" w:rsidRDefault="00000000">
      <w:pPr>
        <w:spacing w:before="80" w:after="80" w:line="276" w:lineRule="auto"/>
      </w:pPr>
      <w:r>
        <w:rPr>
          <w:color w:val="404040"/>
        </w:rPr>
        <w:t>All items in this sub-area met 100% acceptable level, with three items at the maximum mean. Note: n = 24 for these items (one non-response).</w:t>
      </w:r>
    </w:p>
    <w:p w14:paraId="7AAFB939" w14:textId="77777777" w:rsidR="006052A5" w:rsidRDefault="00000000">
      <w:pPr>
        <w:spacing w:before="200" w:after="120"/>
      </w:pPr>
      <w:r>
        <w:rPr>
          <w:b/>
          <w:bCs/>
          <w:color w:val="1F3864"/>
          <w:sz w:val="22"/>
          <w:szCs w:val="22"/>
        </w:rPr>
        <w:t>Content Knowledge Application (Items 13–19)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
        <w:gridCol w:w="4471"/>
        <w:gridCol w:w="1095"/>
        <w:gridCol w:w="1093"/>
        <w:gridCol w:w="1091"/>
        <w:gridCol w:w="1161"/>
      </w:tblGrid>
      <w:tr w:rsidR="006052A5" w14:paraId="58142BCE"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261AA08" w14:textId="77777777" w:rsidR="006052A5" w:rsidRDefault="00000000">
            <w:pPr>
              <w:jc w:val="center"/>
            </w:pPr>
            <w:r>
              <w:rPr>
                <w:b/>
                <w:bCs/>
                <w:color w:val="FFFFFF"/>
                <w:sz w:val="18"/>
                <w:szCs w:val="18"/>
              </w:rPr>
              <w:lastRenderedPageBreak/>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7C4C528" w14:textId="77777777" w:rsidR="006052A5"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2CC579E" w14:textId="77777777" w:rsidR="006052A5"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449F1D5" w14:textId="77777777" w:rsidR="006052A5"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3CF6360" w14:textId="77777777" w:rsidR="006052A5"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6244267" w14:textId="77777777" w:rsidR="006052A5" w:rsidRDefault="00000000">
            <w:pPr>
              <w:jc w:val="center"/>
            </w:pPr>
            <w:r>
              <w:rPr>
                <w:b/>
                <w:bCs/>
                <w:color w:val="FFFFFF"/>
                <w:sz w:val="18"/>
                <w:szCs w:val="18"/>
              </w:rPr>
              <w:t>% Acceptable</w:t>
            </w:r>
          </w:p>
        </w:tc>
      </w:tr>
      <w:tr w:rsidR="006052A5" w14:paraId="4130A2E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E15521" w14:textId="77777777" w:rsidR="006052A5" w:rsidRDefault="00000000">
            <w:pPr>
              <w:spacing w:before="20" w:after="20"/>
              <w:jc w:val="center"/>
            </w:pPr>
            <w:r>
              <w:rPr>
                <w:color w:val="404040"/>
                <w:sz w:val="18"/>
                <w:szCs w:val="18"/>
              </w:rPr>
              <w:t>13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8B9DEB" w14:textId="77777777" w:rsidR="006052A5" w:rsidRDefault="00000000">
            <w:pPr>
              <w:spacing w:before="20" w:after="20"/>
            </w:pPr>
            <w:r>
              <w:rPr>
                <w:color w:val="404040"/>
                <w:sz w:val="18"/>
                <w:szCs w:val="18"/>
              </w:rPr>
              <w:t>Recognizing that content knowledge is complex and ever evolving</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360C6C" w14:textId="77777777" w:rsidR="006052A5"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877316" w14:textId="77777777" w:rsidR="006052A5" w:rsidRDefault="00000000">
            <w:pPr>
              <w:spacing w:before="20" w:after="20"/>
              <w:jc w:val="center"/>
            </w:pPr>
            <w:r>
              <w:rPr>
                <w:color w:val="404040"/>
                <w:sz w:val="18"/>
                <w:szCs w:val="18"/>
              </w:rPr>
              <w:t>0.28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56E364"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5E4958" w14:textId="77777777" w:rsidR="006052A5" w:rsidRDefault="00000000">
            <w:pPr>
              <w:spacing w:before="20" w:after="20"/>
              <w:jc w:val="center"/>
            </w:pPr>
            <w:r>
              <w:rPr>
                <w:color w:val="404040"/>
                <w:sz w:val="18"/>
                <w:szCs w:val="18"/>
              </w:rPr>
              <w:t>100%</w:t>
            </w:r>
          </w:p>
        </w:tc>
      </w:tr>
      <w:tr w:rsidR="006052A5" w14:paraId="466DDAE6"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1E5CA37" w14:textId="77777777" w:rsidR="006052A5" w:rsidRDefault="00000000">
            <w:pPr>
              <w:spacing w:before="20" w:after="20"/>
              <w:jc w:val="center"/>
            </w:pPr>
            <w:r>
              <w:rPr>
                <w:color w:val="404040"/>
                <w:sz w:val="18"/>
                <w:szCs w:val="18"/>
              </w:rPr>
              <w:t>14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78B5B19" w14:textId="77777777" w:rsidR="006052A5" w:rsidRDefault="00000000">
            <w:pPr>
              <w:spacing w:before="20" w:after="20"/>
            </w:pPr>
            <w:r>
              <w:rPr>
                <w:color w:val="404040"/>
                <w:sz w:val="18"/>
                <w:szCs w:val="18"/>
              </w:rPr>
              <w:t>Appreciating multiple perspectives within the discipline</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832B3FC" w14:textId="77777777" w:rsidR="006052A5"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C2FBC96" w14:textId="77777777" w:rsidR="006052A5" w:rsidRDefault="00000000">
            <w:pPr>
              <w:spacing w:before="20" w:after="20"/>
              <w:jc w:val="center"/>
            </w:pPr>
            <w:r>
              <w:rPr>
                <w:color w:val="404040"/>
                <w:sz w:val="18"/>
                <w:szCs w:val="18"/>
              </w:rPr>
              <w:t>0.28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E62B1DD"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B4E505D" w14:textId="77777777" w:rsidR="006052A5" w:rsidRDefault="00000000">
            <w:pPr>
              <w:spacing w:before="20" w:after="20"/>
              <w:jc w:val="center"/>
            </w:pPr>
            <w:r>
              <w:rPr>
                <w:color w:val="404040"/>
                <w:sz w:val="18"/>
                <w:szCs w:val="18"/>
              </w:rPr>
              <w:t>100%</w:t>
            </w:r>
          </w:p>
        </w:tc>
      </w:tr>
      <w:tr w:rsidR="006052A5" w14:paraId="7325E339"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737E98" w14:textId="77777777" w:rsidR="006052A5" w:rsidRDefault="00000000">
            <w:pPr>
              <w:spacing w:before="20" w:after="20"/>
              <w:jc w:val="center"/>
            </w:pPr>
            <w:r>
              <w:rPr>
                <w:color w:val="404040"/>
                <w:sz w:val="18"/>
                <w:szCs w:val="18"/>
              </w:rPr>
              <w:t>15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CC93A5" w14:textId="77777777" w:rsidR="006052A5" w:rsidRDefault="00000000">
            <w:pPr>
              <w:spacing w:before="20" w:after="20"/>
            </w:pPr>
            <w:r>
              <w:rPr>
                <w:color w:val="404040"/>
                <w:sz w:val="18"/>
                <w:szCs w:val="18"/>
              </w:rPr>
              <w:t>Recognizing and reflecting on own ideas, attitudes, and behaviors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48CF2D" w14:textId="77777777" w:rsidR="006052A5" w:rsidRDefault="00000000">
            <w:pPr>
              <w:spacing w:before="20" w:after="20"/>
              <w:jc w:val="center"/>
            </w:pPr>
            <w:r>
              <w:rPr>
                <w:color w:val="404040"/>
                <w:sz w:val="18"/>
                <w:szCs w:val="18"/>
              </w:rPr>
              <w:t>3.84</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40A798" w14:textId="77777777" w:rsidR="006052A5" w:rsidRDefault="00000000">
            <w:pPr>
              <w:spacing w:before="20" w:after="20"/>
              <w:jc w:val="center"/>
            </w:pPr>
            <w:r>
              <w:rPr>
                <w:color w:val="404040"/>
                <w:sz w:val="18"/>
                <w:szCs w:val="18"/>
              </w:rPr>
              <w:t>0.47</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6A5F8B"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E00B80" w14:textId="77777777" w:rsidR="006052A5" w:rsidRDefault="00000000">
            <w:pPr>
              <w:spacing w:before="20" w:after="20"/>
              <w:jc w:val="center"/>
            </w:pPr>
            <w:r>
              <w:rPr>
                <w:color w:val="404040"/>
                <w:sz w:val="18"/>
                <w:szCs w:val="18"/>
              </w:rPr>
              <w:t>96%</w:t>
            </w:r>
          </w:p>
        </w:tc>
      </w:tr>
      <w:tr w:rsidR="006052A5" w14:paraId="4F4F0B9B"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F8AE49E" w14:textId="77777777" w:rsidR="006052A5" w:rsidRDefault="00000000">
            <w:pPr>
              <w:spacing w:before="20" w:after="20"/>
              <w:jc w:val="center"/>
            </w:pPr>
            <w:r>
              <w:rPr>
                <w:color w:val="404040"/>
                <w:sz w:val="18"/>
                <w:szCs w:val="18"/>
              </w:rPr>
              <w:t>16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E712BE2" w14:textId="77777777" w:rsidR="006052A5" w:rsidRDefault="00000000">
            <w:pPr>
              <w:spacing w:before="20" w:after="20"/>
            </w:pPr>
            <w:r>
              <w:rPr>
                <w:color w:val="404040"/>
                <w:sz w:val="18"/>
                <w:szCs w:val="18"/>
              </w:rPr>
              <w:t>Demonstrating commitment to supporting each learner</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6AD5691" w14:textId="77777777" w:rsidR="006052A5"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2DECDDF" w14:textId="77777777" w:rsidR="006052A5" w:rsidRDefault="00000000">
            <w:pPr>
              <w:spacing w:before="20" w:after="20"/>
              <w:jc w:val="center"/>
            </w:pPr>
            <w:r>
              <w:rPr>
                <w:color w:val="404040"/>
                <w:sz w:val="18"/>
                <w:szCs w:val="18"/>
              </w:rPr>
              <w:t>0.28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88CABA5"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7A1A54B" w14:textId="77777777" w:rsidR="006052A5" w:rsidRDefault="00000000">
            <w:pPr>
              <w:spacing w:before="20" w:after="20"/>
              <w:jc w:val="center"/>
            </w:pPr>
            <w:r>
              <w:rPr>
                <w:color w:val="404040"/>
                <w:sz w:val="18"/>
                <w:szCs w:val="18"/>
              </w:rPr>
              <w:t>100%</w:t>
            </w:r>
          </w:p>
        </w:tc>
      </w:tr>
      <w:tr w:rsidR="006052A5" w14:paraId="17CB6C1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7D1F96" w14:textId="77777777" w:rsidR="006052A5" w:rsidRDefault="00000000">
            <w:pPr>
              <w:spacing w:before="20" w:after="20"/>
              <w:jc w:val="center"/>
            </w:pPr>
            <w:r>
              <w:rPr>
                <w:color w:val="404040"/>
                <w:sz w:val="18"/>
                <w:szCs w:val="18"/>
              </w:rPr>
              <w:t>17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319503" w14:textId="77777777" w:rsidR="006052A5" w:rsidRDefault="00000000">
            <w:pPr>
              <w:spacing w:before="20" w:after="20"/>
            </w:pPr>
            <w:r>
              <w:rPr>
                <w:color w:val="404040"/>
                <w:sz w:val="18"/>
                <w:szCs w:val="18"/>
              </w:rPr>
              <w:t>Using disciplinary knowledge to address local and global issues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2E4D8F"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624D01"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30E1FA"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59F9A7" w14:textId="77777777" w:rsidR="006052A5" w:rsidRDefault="00000000">
            <w:pPr>
              <w:spacing w:before="20" w:after="20"/>
              <w:jc w:val="center"/>
            </w:pPr>
            <w:r>
              <w:rPr>
                <w:color w:val="404040"/>
                <w:sz w:val="18"/>
                <w:szCs w:val="18"/>
              </w:rPr>
              <w:t>100%</w:t>
            </w:r>
          </w:p>
        </w:tc>
      </w:tr>
      <w:tr w:rsidR="006052A5" w14:paraId="096D175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1FED6DE" w14:textId="77777777" w:rsidR="006052A5" w:rsidRDefault="00000000">
            <w:pPr>
              <w:spacing w:before="20" w:after="20"/>
              <w:jc w:val="center"/>
            </w:pPr>
            <w:r>
              <w:rPr>
                <w:color w:val="404040"/>
                <w:sz w:val="18"/>
                <w:szCs w:val="18"/>
              </w:rPr>
              <w:t>18</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885F00B" w14:textId="77777777" w:rsidR="006052A5" w:rsidRDefault="00000000">
            <w:pPr>
              <w:spacing w:before="20" w:after="20"/>
            </w:pPr>
            <w:r>
              <w:rPr>
                <w:color w:val="404040"/>
                <w:sz w:val="18"/>
                <w:szCs w:val="18"/>
              </w:rPr>
              <w:t>Valuing knowledge outside own content area</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556B754"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AC3E97C" w14:textId="77777777" w:rsidR="006052A5" w:rsidRDefault="00000000">
            <w:pPr>
              <w:spacing w:before="20" w:after="20"/>
              <w:jc w:val="center"/>
            </w:pPr>
            <w:r>
              <w:rPr>
                <w:color w:val="404040"/>
                <w:sz w:val="18"/>
                <w:szCs w:val="18"/>
              </w:rPr>
              <w:t>0.41</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8E0F6F7"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96F2F0F" w14:textId="77777777" w:rsidR="006052A5" w:rsidRDefault="00000000">
            <w:pPr>
              <w:spacing w:before="20" w:after="20"/>
              <w:jc w:val="center"/>
            </w:pPr>
            <w:r>
              <w:rPr>
                <w:color w:val="404040"/>
                <w:sz w:val="18"/>
                <w:szCs w:val="18"/>
              </w:rPr>
              <w:t>100%</w:t>
            </w:r>
          </w:p>
        </w:tc>
      </w:tr>
      <w:tr w:rsidR="006052A5" w14:paraId="366A831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2408C4" w14:textId="77777777" w:rsidR="006052A5" w:rsidRDefault="00000000">
            <w:pPr>
              <w:spacing w:before="20" w:after="20"/>
              <w:jc w:val="center"/>
            </w:pPr>
            <w:r>
              <w:rPr>
                <w:color w:val="404040"/>
                <w:sz w:val="18"/>
                <w:szCs w:val="18"/>
              </w:rPr>
              <w:t>19</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712397" w14:textId="77777777" w:rsidR="006052A5" w:rsidRDefault="00000000">
            <w:pPr>
              <w:spacing w:before="20" w:after="20"/>
            </w:pPr>
            <w:r>
              <w:rPr>
                <w:color w:val="404040"/>
                <w:sz w:val="18"/>
                <w:szCs w:val="18"/>
              </w:rPr>
              <w:t>Valuing flexible learning environments for exploration</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6F3046"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9BADCC"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671FB5"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38503A" w14:textId="77777777" w:rsidR="006052A5" w:rsidRDefault="00000000">
            <w:pPr>
              <w:spacing w:before="20" w:after="20"/>
              <w:jc w:val="center"/>
            </w:pPr>
            <w:r>
              <w:rPr>
                <w:color w:val="404040"/>
                <w:sz w:val="18"/>
                <w:szCs w:val="18"/>
              </w:rPr>
              <w:t>100%</w:t>
            </w:r>
          </w:p>
        </w:tc>
      </w:tr>
    </w:tbl>
    <w:p w14:paraId="2F339771" w14:textId="77777777" w:rsidR="006052A5" w:rsidRDefault="006052A5">
      <w:pPr>
        <w:spacing w:before="40" w:after="40"/>
      </w:pPr>
    </w:p>
    <w:p w14:paraId="6945A995" w14:textId="77777777" w:rsidR="006052A5" w:rsidRDefault="00000000">
      <w:pPr>
        <w:spacing w:before="200" w:after="120"/>
      </w:pPr>
      <w:r>
        <w:rPr>
          <w:b/>
          <w:bCs/>
          <w:color w:val="1F3864"/>
          <w:sz w:val="22"/>
          <w:szCs w:val="22"/>
        </w:rPr>
        <w:t>Assessment (Items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
        <w:gridCol w:w="4472"/>
        <w:gridCol w:w="1094"/>
        <w:gridCol w:w="1093"/>
        <w:gridCol w:w="1091"/>
        <w:gridCol w:w="1161"/>
      </w:tblGrid>
      <w:tr w:rsidR="006052A5" w14:paraId="38E1514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087A9AC" w14:textId="77777777" w:rsidR="006052A5"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F84FE94" w14:textId="77777777" w:rsidR="006052A5"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C275E78" w14:textId="77777777" w:rsidR="006052A5"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D5FC7E1" w14:textId="77777777" w:rsidR="006052A5"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E83FBF9" w14:textId="77777777" w:rsidR="006052A5"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866553F" w14:textId="77777777" w:rsidR="006052A5" w:rsidRDefault="00000000">
            <w:pPr>
              <w:jc w:val="center"/>
            </w:pPr>
            <w:r>
              <w:rPr>
                <w:b/>
                <w:bCs/>
                <w:color w:val="FFFFFF"/>
                <w:sz w:val="18"/>
                <w:szCs w:val="18"/>
              </w:rPr>
              <w:t>% Acceptable</w:t>
            </w:r>
          </w:p>
        </w:tc>
      </w:tr>
      <w:tr w:rsidR="006052A5" w14:paraId="0D94942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F76F73" w14:textId="77777777" w:rsidR="006052A5" w:rsidRDefault="00000000">
            <w:pPr>
              <w:spacing w:before="20" w:after="20"/>
              <w:jc w:val="center"/>
            </w:pPr>
            <w:r>
              <w:rPr>
                <w:color w:val="404040"/>
                <w:sz w:val="18"/>
                <w:szCs w:val="18"/>
              </w:rPr>
              <w:t>20</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7B6F22" w14:textId="77777777" w:rsidR="006052A5" w:rsidRDefault="00000000">
            <w:pPr>
              <w:spacing w:before="20" w:after="20"/>
            </w:pPr>
            <w:r>
              <w:rPr>
                <w:color w:val="404040"/>
                <w:sz w:val="18"/>
                <w:szCs w:val="18"/>
              </w:rPr>
              <w:t>Engaging learners in analyzing their own assessment results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635BD2"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C6536A" w14:textId="77777777" w:rsidR="006052A5" w:rsidRDefault="00000000">
            <w:pPr>
              <w:spacing w:before="20" w:after="20"/>
              <w:jc w:val="center"/>
            </w:pPr>
            <w:r>
              <w:rPr>
                <w:color w:val="404040"/>
                <w:sz w:val="18"/>
                <w:szCs w:val="18"/>
              </w:rPr>
              <w:t>0.41</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7AF855"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957ACA" w14:textId="77777777" w:rsidR="006052A5" w:rsidRDefault="00000000">
            <w:pPr>
              <w:spacing w:before="20" w:after="20"/>
              <w:jc w:val="center"/>
            </w:pPr>
            <w:r>
              <w:rPr>
                <w:color w:val="404040"/>
                <w:sz w:val="18"/>
                <w:szCs w:val="18"/>
              </w:rPr>
              <w:t>100%</w:t>
            </w:r>
          </w:p>
        </w:tc>
      </w:tr>
      <w:tr w:rsidR="006052A5" w14:paraId="212B946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803ED31" w14:textId="77777777" w:rsidR="006052A5" w:rsidRDefault="00000000">
            <w:pPr>
              <w:spacing w:before="20" w:after="20"/>
              <w:jc w:val="center"/>
            </w:pPr>
            <w:r>
              <w:rPr>
                <w:color w:val="404040"/>
                <w:sz w:val="18"/>
                <w:szCs w:val="18"/>
              </w:rPr>
              <w:t>21</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9AF288C" w14:textId="77777777" w:rsidR="006052A5" w:rsidRDefault="00000000">
            <w:pPr>
              <w:spacing w:before="20" w:after="20"/>
            </w:pPr>
            <w:r>
              <w:rPr>
                <w:color w:val="404040"/>
                <w:sz w:val="18"/>
                <w:szCs w:val="18"/>
              </w:rPr>
              <w:t>Analyzing assessment data to understand patterns and gaps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FB36217" w14:textId="77777777" w:rsidR="006052A5" w:rsidRDefault="00000000">
            <w:pPr>
              <w:spacing w:before="20" w:after="20"/>
              <w:jc w:val="center"/>
            </w:pPr>
            <w:r>
              <w:rPr>
                <w:color w:val="404040"/>
                <w:sz w:val="18"/>
                <w:szCs w:val="18"/>
              </w:rPr>
              <w:t>3.72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FC70764" w14:textId="77777777" w:rsidR="006052A5" w:rsidRDefault="00000000">
            <w:pPr>
              <w:spacing w:before="20" w:after="20"/>
              <w:jc w:val="center"/>
            </w:pPr>
            <w:r>
              <w:rPr>
                <w:color w:val="404040"/>
                <w:sz w:val="18"/>
                <w:szCs w:val="18"/>
              </w:rPr>
              <w:t>0.54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173448C"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E1971B2" w14:textId="77777777" w:rsidR="006052A5" w:rsidRDefault="00000000">
            <w:pPr>
              <w:spacing w:before="20" w:after="20"/>
              <w:jc w:val="center"/>
            </w:pPr>
            <w:r>
              <w:rPr>
                <w:color w:val="404040"/>
                <w:sz w:val="18"/>
                <w:szCs w:val="18"/>
              </w:rPr>
              <w:t>96%</w:t>
            </w:r>
          </w:p>
        </w:tc>
      </w:tr>
      <w:tr w:rsidR="006052A5" w14:paraId="7344312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E90BFC" w14:textId="77777777" w:rsidR="006052A5" w:rsidRDefault="00000000">
            <w:pPr>
              <w:spacing w:before="20" w:after="20"/>
              <w:jc w:val="center"/>
            </w:pPr>
            <w:r>
              <w:rPr>
                <w:color w:val="404040"/>
                <w:sz w:val="18"/>
                <w:szCs w:val="18"/>
              </w:rPr>
              <w:t>22</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7D90D9" w14:textId="77777777" w:rsidR="006052A5" w:rsidRDefault="00000000">
            <w:pPr>
              <w:spacing w:before="20" w:after="20"/>
            </w:pPr>
            <w:r>
              <w:rPr>
                <w:color w:val="404040"/>
                <w:sz w:val="18"/>
                <w:szCs w:val="18"/>
              </w:rPr>
              <w:t>Providing effective descriptive feedback to students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2AA78D"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6ABA71"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7F624E"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EB41B3" w14:textId="77777777" w:rsidR="006052A5" w:rsidRDefault="00000000">
            <w:pPr>
              <w:spacing w:before="20" w:after="20"/>
              <w:jc w:val="center"/>
            </w:pPr>
            <w:r>
              <w:rPr>
                <w:color w:val="404040"/>
                <w:sz w:val="18"/>
                <w:szCs w:val="18"/>
              </w:rPr>
              <w:t>100%</w:t>
            </w:r>
          </w:p>
        </w:tc>
      </w:tr>
      <w:tr w:rsidR="006052A5" w14:paraId="0A673FE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A1E0600" w14:textId="77777777" w:rsidR="006052A5" w:rsidRDefault="00000000">
            <w:pPr>
              <w:spacing w:before="20" w:after="20"/>
              <w:jc w:val="center"/>
            </w:pPr>
            <w:r>
              <w:rPr>
                <w:color w:val="404040"/>
                <w:sz w:val="18"/>
                <w:szCs w:val="18"/>
              </w:rPr>
              <w:t>23</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CD8F243" w14:textId="77777777" w:rsidR="006052A5" w:rsidRDefault="00000000">
            <w:pPr>
              <w:spacing w:before="20" w:after="20"/>
            </w:pPr>
            <w:r>
              <w:rPr>
                <w:color w:val="404040"/>
                <w:sz w:val="18"/>
                <w:szCs w:val="18"/>
              </w:rPr>
              <w:t>Identifying when and how to evaluate learner progress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9D2BA05" w14:textId="77777777" w:rsidR="006052A5" w:rsidRDefault="00000000">
            <w:pPr>
              <w:spacing w:before="20" w:after="20"/>
              <w:jc w:val="center"/>
            </w:pPr>
            <w:r>
              <w:rPr>
                <w:color w:val="404040"/>
                <w:sz w:val="18"/>
                <w:szCs w:val="18"/>
              </w:rPr>
              <w:t>3.76</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4374F2C" w14:textId="77777777" w:rsidR="006052A5" w:rsidRDefault="00000000">
            <w:pPr>
              <w:spacing w:before="20" w:after="20"/>
              <w:jc w:val="center"/>
            </w:pPr>
            <w:r>
              <w:rPr>
                <w:color w:val="404040"/>
                <w:sz w:val="18"/>
                <w:szCs w:val="18"/>
              </w:rPr>
              <w:t>0.52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8E52079"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91BCBD4" w14:textId="77777777" w:rsidR="006052A5" w:rsidRDefault="00000000">
            <w:pPr>
              <w:spacing w:before="20" w:after="20"/>
              <w:jc w:val="center"/>
            </w:pPr>
            <w:r>
              <w:rPr>
                <w:color w:val="404040"/>
                <w:sz w:val="18"/>
                <w:szCs w:val="18"/>
              </w:rPr>
              <w:t>96%</w:t>
            </w:r>
          </w:p>
        </w:tc>
      </w:tr>
      <w:tr w:rsidR="006052A5" w14:paraId="5263442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0A9FF6" w14:textId="77777777" w:rsidR="006052A5" w:rsidRDefault="00000000">
            <w:pPr>
              <w:spacing w:before="20" w:after="20"/>
              <w:jc w:val="center"/>
            </w:pPr>
            <w:r>
              <w:rPr>
                <w:color w:val="404040"/>
                <w:sz w:val="18"/>
                <w:szCs w:val="18"/>
              </w:rPr>
              <w:t>24</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A7788F" w14:textId="77777777" w:rsidR="006052A5" w:rsidRDefault="00000000">
            <w:pPr>
              <w:spacing w:before="20" w:after="20"/>
            </w:pPr>
            <w:r>
              <w:rPr>
                <w:color w:val="404040"/>
                <w:sz w:val="18"/>
                <w:szCs w:val="18"/>
              </w:rPr>
              <w:t>Preparing learners and making accommodations for assessments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C8D7C5" w14:textId="77777777" w:rsidR="006052A5" w:rsidRDefault="00000000">
            <w:pPr>
              <w:spacing w:before="20" w:after="20"/>
              <w:jc w:val="center"/>
            </w:pPr>
            <w:r>
              <w:rPr>
                <w:color w:val="404040"/>
                <w:sz w:val="18"/>
                <w:szCs w:val="18"/>
              </w:rPr>
              <w:t>3.76</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0A87E5" w14:textId="77777777" w:rsidR="006052A5" w:rsidRDefault="00000000">
            <w:pPr>
              <w:spacing w:before="20" w:after="20"/>
              <w:jc w:val="center"/>
            </w:pPr>
            <w:r>
              <w:rPr>
                <w:color w:val="404040"/>
                <w:sz w:val="18"/>
                <w:szCs w:val="18"/>
              </w:rPr>
              <w:t>0.52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0C222D"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87E4DA" w14:textId="77777777" w:rsidR="006052A5" w:rsidRDefault="00000000">
            <w:pPr>
              <w:spacing w:before="20" w:after="20"/>
              <w:jc w:val="center"/>
            </w:pPr>
            <w:r>
              <w:rPr>
                <w:color w:val="404040"/>
                <w:sz w:val="18"/>
                <w:szCs w:val="18"/>
              </w:rPr>
              <w:t>96%</w:t>
            </w:r>
          </w:p>
        </w:tc>
      </w:tr>
      <w:tr w:rsidR="006052A5" w14:paraId="6BFACC99"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5398406" w14:textId="77777777" w:rsidR="006052A5" w:rsidRDefault="00000000">
            <w:pPr>
              <w:spacing w:before="20" w:after="20"/>
              <w:jc w:val="center"/>
            </w:pPr>
            <w:r>
              <w:rPr>
                <w:color w:val="404040"/>
                <w:sz w:val="18"/>
                <w:szCs w:val="18"/>
              </w:rPr>
              <w:t>25</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A8AB272" w14:textId="77777777" w:rsidR="006052A5" w:rsidRDefault="00000000">
            <w:pPr>
              <w:spacing w:before="20" w:after="20"/>
            </w:pPr>
            <w:r>
              <w:rPr>
                <w:color w:val="404040"/>
                <w:sz w:val="18"/>
                <w:szCs w:val="18"/>
              </w:rPr>
              <w:t>Understanding range and purposes of assessment</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5EC9834"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097E619" w14:textId="77777777" w:rsidR="006052A5" w:rsidRDefault="00000000">
            <w:pPr>
              <w:spacing w:before="20" w:after="20"/>
              <w:jc w:val="center"/>
            </w:pPr>
            <w:r>
              <w:rPr>
                <w:color w:val="404040"/>
                <w:sz w:val="18"/>
                <w:szCs w:val="18"/>
              </w:rPr>
              <w:t>0.41</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E631370"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9ED9F08" w14:textId="77777777" w:rsidR="006052A5" w:rsidRDefault="00000000">
            <w:pPr>
              <w:spacing w:before="20" w:after="20"/>
              <w:jc w:val="center"/>
            </w:pPr>
            <w:r>
              <w:rPr>
                <w:color w:val="404040"/>
                <w:sz w:val="18"/>
                <w:szCs w:val="18"/>
              </w:rPr>
              <w:t>100%</w:t>
            </w:r>
          </w:p>
        </w:tc>
      </w:tr>
    </w:tbl>
    <w:p w14:paraId="0F87E97E" w14:textId="77777777" w:rsidR="006052A5" w:rsidRDefault="006052A5">
      <w:pPr>
        <w:spacing w:before="40" w:after="40"/>
      </w:pPr>
    </w:p>
    <w:p w14:paraId="6C154D6E" w14:textId="77777777" w:rsidR="006052A5" w:rsidRDefault="00000000">
      <w:pPr>
        <w:spacing w:before="80" w:after="80" w:line="276" w:lineRule="auto"/>
      </w:pPr>
      <w:r>
        <w:rPr>
          <w:color w:val="404040"/>
        </w:rPr>
        <w:t>Assessment items show the most variability within this domain. Item 21 (analyzing assessment data: M = 3.72, SD = 0.54) and Items 23–24 (evaluating progress and making accommodations: M = 3.76) represent areas for continued development.</w:t>
      </w:r>
    </w:p>
    <w:p w14:paraId="084859D1" w14:textId="77777777" w:rsidR="006052A5" w:rsidRDefault="00000000">
      <w:pPr>
        <w:spacing w:before="200" w:after="120"/>
      </w:pPr>
      <w:r>
        <w:rPr>
          <w:b/>
          <w:bCs/>
          <w:color w:val="1F3864"/>
          <w:sz w:val="22"/>
          <w:szCs w:val="22"/>
        </w:rPr>
        <w:t>Planning (Items 26–29)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
        <w:gridCol w:w="4470"/>
        <w:gridCol w:w="1095"/>
        <w:gridCol w:w="1093"/>
        <w:gridCol w:w="1091"/>
        <w:gridCol w:w="1161"/>
      </w:tblGrid>
      <w:tr w:rsidR="006052A5" w14:paraId="2DB032EB"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AAA6D22" w14:textId="77777777" w:rsidR="006052A5"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72992C2" w14:textId="77777777" w:rsidR="006052A5"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0EFFB68" w14:textId="77777777" w:rsidR="006052A5"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18CCA4E" w14:textId="77777777" w:rsidR="006052A5"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139E009" w14:textId="77777777" w:rsidR="006052A5"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454A0F9" w14:textId="77777777" w:rsidR="006052A5" w:rsidRDefault="00000000">
            <w:pPr>
              <w:jc w:val="center"/>
            </w:pPr>
            <w:r>
              <w:rPr>
                <w:b/>
                <w:bCs/>
                <w:color w:val="FFFFFF"/>
                <w:sz w:val="18"/>
                <w:szCs w:val="18"/>
              </w:rPr>
              <w:t>% Acceptable</w:t>
            </w:r>
          </w:p>
        </w:tc>
      </w:tr>
      <w:tr w:rsidR="006052A5" w14:paraId="5738F9A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9E3FA1" w14:textId="77777777" w:rsidR="006052A5" w:rsidRDefault="00000000">
            <w:pPr>
              <w:spacing w:before="20" w:after="20"/>
              <w:jc w:val="center"/>
            </w:pPr>
            <w:r>
              <w:rPr>
                <w:color w:val="404040"/>
                <w:sz w:val="18"/>
                <w:szCs w:val="18"/>
              </w:rPr>
              <w:t>26</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FBF0A8" w14:textId="77777777" w:rsidR="006052A5" w:rsidRDefault="00000000">
            <w:pPr>
              <w:spacing w:before="20" w:after="20"/>
            </w:pPr>
            <w:r>
              <w:rPr>
                <w:color w:val="404040"/>
                <w:sz w:val="18"/>
                <w:szCs w:val="18"/>
              </w:rPr>
              <w:t>Respecting learners' diverse strengths for planning instruction</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4C4FD2" w14:textId="77777777" w:rsidR="006052A5" w:rsidRDefault="00000000">
            <w:pPr>
              <w:spacing w:before="20" w:after="20"/>
              <w:jc w:val="center"/>
            </w:pPr>
            <w:r>
              <w:rPr>
                <w:color w:val="404040"/>
                <w:sz w:val="18"/>
                <w:szCs w:val="18"/>
              </w:rPr>
              <w:t>3.84</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9F0F9E" w14:textId="77777777" w:rsidR="006052A5" w:rsidRDefault="00000000">
            <w:pPr>
              <w:spacing w:before="20" w:after="20"/>
              <w:jc w:val="center"/>
            </w:pPr>
            <w:r>
              <w:rPr>
                <w:color w:val="404040"/>
                <w:sz w:val="18"/>
                <w:szCs w:val="18"/>
              </w:rPr>
              <w:t>0.37</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27028E"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99D97B" w14:textId="77777777" w:rsidR="006052A5" w:rsidRDefault="00000000">
            <w:pPr>
              <w:spacing w:before="20" w:after="20"/>
              <w:jc w:val="center"/>
            </w:pPr>
            <w:r>
              <w:rPr>
                <w:color w:val="404040"/>
                <w:sz w:val="18"/>
                <w:szCs w:val="18"/>
              </w:rPr>
              <w:t>100%</w:t>
            </w:r>
          </w:p>
        </w:tc>
      </w:tr>
      <w:tr w:rsidR="006052A5" w14:paraId="686A451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FCD8D4D" w14:textId="77777777" w:rsidR="006052A5" w:rsidRDefault="00000000">
            <w:pPr>
              <w:spacing w:before="20" w:after="20"/>
              <w:jc w:val="center"/>
            </w:pPr>
            <w:r>
              <w:rPr>
                <w:color w:val="404040"/>
                <w:sz w:val="18"/>
                <w:szCs w:val="18"/>
              </w:rPr>
              <w:t>27</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BB28775" w14:textId="77777777" w:rsidR="006052A5" w:rsidRDefault="00000000">
            <w:pPr>
              <w:spacing w:before="20" w:after="20"/>
            </w:pPr>
            <w:r>
              <w:rPr>
                <w:color w:val="404040"/>
                <w:sz w:val="18"/>
                <w:szCs w:val="18"/>
              </w:rPr>
              <w:t>Valuing planning as a collegial activity</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B036E18" w14:textId="77777777" w:rsidR="006052A5" w:rsidRDefault="00000000">
            <w:pPr>
              <w:spacing w:before="20" w:after="20"/>
              <w:jc w:val="center"/>
            </w:pPr>
            <w:r>
              <w:rPr>
                <w:color w:val="404040"/>
                <w:sz w:val="18"/>
                <w:szCs w:val="18"/>
              </w:rPr>
              <w:t>3.76</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DA35958" w14:textId="77777777" w:rsidR="006052A5" w:rsidRDefault="00000000">
            <w:pPr>
              <w:spacing w:before="20" w:after="20"/>
              <w:jc w:val="center"/>
            </w:pPr>
            <w:r>
              <w:rPr>
                <w:color w:val="404040"/>
                <w:sz w:val="18"/>
                <w:szCs w:val="18"/>
              </w:rPr>
              <w:t>0.52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EA781E0"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B2E406B" w14:textId="77777777" w:rsidR="006052A5" w:rsidRDefault="00000000">
            <w:pPr>
              <w:spacing w:before="20" w:after="20"/>
              <w:jc w:val="center"/>
            </w:pPr>
            <w:r>
              <w:rPr>
                <w:color w:val="404040"/>
                <w:sz w:val="18"/>
                <w:szCs w:val="18"/>
              </w:rPr>
              <w:t>96%</w:t>
            </w:r>
          </w:p>
        </w:tc>
      </w:tr>
      <w:tr w:rsidR="006052A5" w14:paraId="41763C0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E9D66E" w14:textId="77777777" w:rsidR="006052A5" w:rsidRDefault="00000000">
            <w:pPr>
              <w:spacing w:before="20" w:after="20"/>
              <w:jc w:val="center"/>
            </w:pPr>
            <w:r>
              <w:rPr>
                <w:color w:val="404040"/>
                <w:sz w:val="18"/>
                <w:szCs w:val="18"/>
              </w:rPr>
              <w:t>28</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D40796" w14:textId="77777777" w:rsidR="006052A5" w:rsidRDefault="00000000">
            <w:pPr>
              <w:spacing w:before="20" w:after="20"/>
            </w:pPr>
            <w:r>
              <w:rPr>
                <w:color w:val="404040"/>
                <w:sz w:val="18"/>
                <w:szCs w:val="18"/>
              </w:rPr>
              <w:t>Taking professional responsibility for planning</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33E639"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1405A7" w14:textId="77777777" w:rsidR="006052A5" w:rsidRDefault="00000000">
            <w:pPr>
              <w:spacing w:before="20" w:after="20"/>
              <w:jc w:val="center"/>
            </w:pPr>
            <w:r>
              <w:rPr>
                <w:color w:val="404040"/>
                <w:sz w:val="18"/>
                <w:szCs w:val="18"/>
              </w:rPr>
              <w:t>0.50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29B58E"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26D2EA" w14:textId="77777777" w:rsidR="006052A5" w:rsidRDefault="00000000">
            <w:pPr>
              <w:spacing w:before="20" w:after="20"/>
              <w:jc w:val="center"/>
            </w:pPr>
            <w:r>
              <w:rPr>
                <w:color w:val="404040"/>
                <w:sz w:val="18"/>
                <w:szCs w:val="18"/>
              </w:rPr>
              <w:t>96%</w:t>
            </w:r>
          </w:p>
        </w:tc>
      </w:tr>
      <w:tr w:rsidR="006052A5" w14:paraId="0CF60A1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FEA2E16" w14:textId="77777777" w:rsidR="006052A5" w:rsidRDefault="00000000">
            <w:pPr>
              <w:spacing w:before="20" w:after="20"/>
              <w:jc w:val="center"/>
            </w:pPr>
            <w:r>
              <w:rPr>
                <w:color w:val="404040"/>
                <w:sz w:val="18"/>
                <w:szCs w:val="18"/>
              </w:rPr>
              <w:t>29</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5F6F5C3" w14:textId="77777777" w:rsidR="006052A5" w:rsidRDefault="00000000">
            <w:pPr>
              <w:spacing w:before="20" w:after="20"/>
            </w:pPr>
            <w:r>
              <w:rPr>
                <w:color w:val="404040"/>
                <w:sz w:val="18"/>
                <w:szCs w:val="18"/>
              </w:rPr>
              <w:t>Recognizing plans must be open to adjustment</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E3EDF60"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D0C6626"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FB7BECE"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71FE08B" w14:textId="77777777" w:rsidR="006052A5" w:rsidRDefault="00000000">
            <w:pPr>
              <w:spacing w:before="20" w:after="20"/>
              <w:jc w:val="center"/>
            </w:pPr>
            <w:r>
              <w:rPr>
                <w:color w:val="404040"/>
                <w:sz w:val="18"/>
                <w:szCs w:val="18"/>
              </w:rPr>
              <w:t>100%</w:t>
            </w:r>
          </w:p>
        </w:tc>
      </w:tr>
    </w:tbl>
    <w:p w14:paraId="55ECF249" w14:textId="77777777" w:rsidR="006052A5" w:rsidRDefault="006052A5">
      <w:pPr>
        <w:spacing w:before="40" w:after="40"/>
      </w:pPr>
    </w:p>
    <w:p w14:paraId="7E17B8A0" w14:textId="77777777" w:rsidR="006052A5" w:rsidRDefault="00000000">
      <w:pPr>
        <w:spacing w:before="200" w:after="120"/>
      </w:pPr>
      <w:r>
        <w:rPr>
          <w:b/>
          <w:bCs/>
          <w:color w:val="1F3864"/>
          <w:sz w:val="22"/>
          <w:szCs w:val="22"/>
        </w:rPr>
        <w:lastRenderedPageBreak/>
        <w:t>Professional Responsibility (Items 30–42)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
        <w:gridCol w:w="4471"/>
        <w:gridCol w:w="1094"/>
        <w:gridCol w:w="1093"/>
        <w:gridCol w:w="1091"/>
        <w:gridCol w:w="1161"/>
      </w:tblGrid>
      <w:tr w:rsidR="006052A5" w14:paraId="720EF7D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F12D7B8" w14:textId="77777777" w:rsidR="006052A5"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0EAA8F4" w14:textId="77777777" w:rsidR="006052A5"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5605CE7" w14:textId="77777777" w:rsidR="006052A5"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CD8CF9A" w14:textId="77777777" w:rsidR="006052A5"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4A11DF1" w14:textId="77777777" w:rsidR="006052A5"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406559B" w14:textId="77777777" w:rsidR="006052A5" w:rsidRDefault="00000000">
            <w:pPr>
              <w:jc w:val="center"/>
            </w:pPr>
            <w:r>
              <w:rPr>
                <w:b/>
                <w:bCs/>
                <w:color w:val="FFFFFF"/>
                <w:sz w:val="18"/>
                <w:szCs w:val="18"/>
              </w:rPr>
              <w:t>% Acceptable</w:t>
            </w:r>
          </w:p>
        </w:tc>
      </w:tr>
      <w:tr w:rsidR="006052A5" w14:paraId="0A0554C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46FFD2" w14:textId="77777777" w:rsidR="006052A5" w:rsidRDefault="00000000">
            <w:pPr>
              <w:spacing w:before="20" w:after="20"/>
              <w:jc w:val="center"/>
            </w:pPr>
            <w:r>
              <w:rPr>
                <w:color w:val="404040"/>
                <w:sz w:val="18"/>
                <w:szCs w:val="18"/>
              </w:rPr>
              <w:t>30</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D0F9C7" w14:textId="77777777" w:rsidR="006052A5" w:rsidRDefault="00000000">
            <w:pPr>
              <w:spacing w:before="20" w:after="20"/>
            </w:pPr>
            <w:r>
              <w:rPr>
                <w:color w:val="404040"/>
                <w:sz w:val="18"/>
                <w:szCs w:val="18"/>
              </w:rPr>
              <w:t>Deepening awareness of diverse learners' strengths and needs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0AFCA5" w14:textId="77777777" w:rsidR="006052A5"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8B0600" w14:textId="77777777" w:rsidR="006052A5" w:rsidRDefault="00000000">
            <w:pPr>
              <w:spacing w:before="20" w:after="20"/>
              <w:jc w:val="center"/>
            </w:pPr>
            <w:r>
              <w:rPr>
                <w:color w:val="404040"/>
                <w:sz w:val="18"/>
                <w:szCs w:val="18"/>
              </w:rPr>
              <w:t>0.28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7239D0"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20DE84" w14:textId="77777777" w:rsidR="006052A5" w:rsidRDefault="00000000">
            <w:pPr>
              <w:spacing w:before="20" w:after="20"/>
              <w:jc w:val="center"/>
            </w:pPr>
            <w:r>
              <w:rPr>
                <w:color w:val="404040"/>
                <w:sz w:val="18"/>
                <w:szCs w:val="18"/>
              </w:rPr>
              <w:t>100%</w:t>
            </w:r>
          </w:p>
        </w:tc>
      </w:tr>
      <w:tr w:rsidR="006052A5" w14:paraId="6F9E91C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991520C" w14:textId="77777777" w:rsidR="006052A5" w:rsidRDefault="00000000">
            <w:pPr>
              <w:spacing w:before="20" w:after="20"/>
              <w:jc w:val="center"/>
            </w:pPr>
            <w:r>
              <w:rPr>
                <w:color w:val="404040"/>
                <w:sz w:val="18"/>
                <w:szCs w:val="18"/>
              </w:rPr>
              <w:t>31</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7055959" w14:textId="77777777" w:rsidR="006052A5" w:rsidRDefault="00000000">
            <w:pPr>
              <w:spacing w:before="20" w:after="20"/>
            </w:pPr>
            <w:r>
              <w:rPr>
                <w:color w:val="404040"/>
                <w:sz w:val="18"/>
                <w:szCs w:val="18"/>
              </w:rPr>
              <w:t>Valuing variety of communication methods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3416DA6" w14:textId="77777777" w:rsidR="006052A5" w:rsidRDefault="00000000">
            <w:pPr>
              <w:spacing w:before="20" w:after="20"/>
              <w:jc w:val="center"/>
            </w:pPr>
            <w:r>
              <w:rPr>
                <w:color w:val="404040"/>
                <w:sz w:val="18"/>
                <w:szCs w:val="18"/>
              </w:rPr>
              <w:t>3.96</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0182344" w14:textId="77777777" w:rsidR="006052A5" w:rsidRDefault="00000000">
            <w:pPr>
              <w:spacing w:before="20" w:after="20"/>
              <w:jc w:val="center"/>
            </w:pPr>
            <w:r>
              <w:rPr>
                <w:color w:val="404040"/>
                <w:sz w:val="18"/>
                <w:szCs w:val="18"/>
              </w:rPr>
              <w:t>0.20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90DB6C1"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E28D5CB" w14:textId="77777777" w:rsidR="006052A5" w:rsidRDefault="00000000">
            <w:pPr>
              <w:spacing w:before="20" w:after="20"/>
              <w:jc w:val="center"/>
            </w:pPr>
            <w:r>
              <w:rPr>
                <w:color w:val="404040"/>
                <w:sz w:val="18"/>
                <w:szCs w:val="18"/>
              </w:rPr>
              <w:t>100%</w:t>
            </w:r>
          </w:p>
        </w:tc>
      </w:tr>
      <w:tr w:rsidR="006052A5" w14:paraId="45565916"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4A7E1E" w14:textId="77777777" w:rsidR="006052A5" w:rsidRDefault="00000000">
            <w:pPr>
              <w:spacing w:before="20" w:after="20"/>
              <w:jc w:val="center"/>
            </w:pPr>
            <w:r>
              <w:rPr>
                <w:color w:val="404040"/>
                <w:sz w:val="18"/>
                <w:szCs w:val="18"/>
              </w:rPr>
              <w:t>32</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D5190C" w14:textId="77777777" w:rsidR="006052A5" w:rsidRDefault="00000000">
            <w:pPr>
              <w:spacing w:before="20" w:after="20"/>
            </w:pPr>
            <w:r>
              <w:rPr>
                <w:color w:val="404040"/>
                <w:sz w:val="18"/>
                <w:szCs w:val="18"/>
              </w:rPr>
              <w:t>Exploring new and emerging technologies for student learning</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2E9429"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F6C895"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79ADE1"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1081F4" w14:textId="77777777" w:rsidR="006052A5" w:rsidRDefault="00000000">
            <w:pPr>
              <w:spacing w:before="20" w:after="20"/>
              <w:jc w:val="center"/>
            </w:pPr>
            <w:r>
              <w:rPr>
                <w:color w:val="404040"/>
                <w:sz w:val="18"/>
                <w:szCs w:val="18"/>
              </w:rPr>
              <w:t>100%</w:t>
            </w:r>
          </w:p>
        </w:tc>
      </w:tr>
      <w:tr w:rsidR="006052A5" w14:paraId="05430CA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CA48CF7" w14:textId="77777777" w:rsidR="006052A5" w:rsidRDefault="00000000">
            <w:pPr>
              <w:spacing w:before="20" w:after="20"/>
              <w:jc w:val="center"/>
            </w:pPr>
            <w:r>
              <w:rPr>
                <w:color w:val="404040"/>
                <w:sz w:val="18"/>
                <w:szCs w:val="18"/>
              </w:rPr>
              <w:t>33</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FC0AFC0" w14:textId="77777777" w:rsidR="006052A5" w:rsidRDefault="00000000">
            <w:pPr>
              <w:spacing w:before="20" w:after="20"/>
            </w:pPr>
            <w:r>
              <w:rPr>
                <w:color w:val="404040"/>
                <w:sz w:val="18"/>
                <w:szCs w:val="18"/>
              </w:rPr>
              <w:t>Valuing flexibility and reciprocity in teaching</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E2358A7" w14:textId="77777777" w:rsidR="006052A5"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D0CDAE8" w14:textId="77777777" w:rsidR="006052A5" w:rsidRDefault="00000000">
            <w:pPr>
              <w:spacing w:before="20" w:after="20"/>
              <w:jc w:val="center"/>
            </w:pPr>
            <w:r>
              <w:rPr>
                <w:color w:val="404040"/>
                <w:sz w:val="18"/>
                <w:szCs w:val="18"/>
              </w:rPr>
              <w:t>0.28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136C0C3"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C8DC173" w14:textId="77777777" w:rsidR="006052A5" w:rsidRDefault="00000000">
            <w:pPr>
              <w:spacing w:before="20" w:after="20"/>
              <w:jc w:val="center"/>
            </w:pPr>
            <w:r>
              <w:rPr>
                <w:color w:val="404040"/>
                <w:sz w:val="18"/>
                <w:szCs w:val="18"/>
              </w:rPr>
              <w:t>100%</w:t>
            </w:r>
          </w:p>
        </w:tc>
      </w:tr>
      <w:tr w:rsidR="006052A5" w14:paraId="7A069E5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484AA3" w14:textId="77777777" w:rsidR="006052A5" w:rsidRDefault="00000000">
            <w:pPr>
              <w:spacing w:before="20" w:after="20"/>
              <w:jc w:val="center"/>
            </w:pPr>
            <w:r>
              <w:rPr>
                <w:color w:val="404040"/>
                <w:sz w:val="18"/>
                <w:szCs w:val="18"/>
              </w:rPr>
              <w:t>34</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643A5E" w14:textId="77777777" w:rsidR="006052A5" w:rsidRDefault="00000000">
            <w:pPr>
              <w:spacing w:before="20" w:after="20"/>
            </w:pPr>
            <w:r>
              <w:rPr>
                <w:color w:val="404040"/>
                <w:sz w:val="18"/>
                <w:szCs w:val="18"/>
              </w:rPr>
              <w:t>Taking responsibility for student learning and reflection</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1FD1E3"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C3AB9C"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9B57B7"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80CB5E" w14:textId="77777777" w:rsidR="006052A5" w:rsidRDefault="00000000">
            <w:pPr>
              <w:spacing w:before="20" w:after="20"/>
              <w:jc w:val="center"/>
            </w:pPr>
            <w:r>
              <w:rPr>
                <w:color w:val="404040"/>
                <w:sz w:val="18"/>
                <w:szCs w:val="18"/>
              </w:rPr>
              <w:t>100%</w:t>
            </w:r>
          </w:p>
        </w:tc>
      </w:tr>
      <w:tr w:rsidR="006052A5" w14:paraId="6251CDCD"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AF5CE4A" w14:textId="77777777" w:rsidR="006052A5" w:rsidRDefault="00000000">
            <w:pPr>
              <w:spacing w:before="20" w:after="20"/>
              <w:jc w:val="center"/>
            </w:pPr>
            <w:r>
              <w:rPr>
                <w:color w:val="404040"/>
                <w:sz w:val="18"/>
                <w:szCs w:val="18"/>
              </w:rPr>
              <w:t>35</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2F7E6CA" w14:textId="77777777" w:rsidR="006052A5" w:rsidRDefault="00000000">
            <w:pPr>
              <w:spacing w:before="20" w:after="20"/>
            </w:pPr>
            <w:r>
              <w:rPr>
                <w:color w:val="404040"/>
                <w:sz w:val="18"/>
                <w:szCs w:val="18"/>
              </w:rPr>
              <w:t>Reflecting on own frames of reference</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B5DC19B" w14:textId="77777777" w:rsidR="006052A5"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6D91247" w14:textId="77777777" w:rsidR="006052A5" w:rsidRDefault="00000000">
            <w:pPr>
              <w:spacing w:before="20" w:after="20"/>
              <w:jc w:val="center"/>
            </w:pPr>
            <w:r>
              <w:rPr>
                <w:color w:val="404040"/>
                <w:sz w:val="18"/>
                <w:szCs w:val="18"/>
              </w:rPr>
              <w:t>0.28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09F05C3"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FACC6C2" w14:textId="77777777" w:rsidR="006052A5" w:rsidRDefault="00000000">
            <w:pPr>
              <w:spacing w:before="20" w:after="20"/>
              <w:jc w:val="center"/>
            </w:pPr>
            <w:r>
              <w:rPr>
                <w:color w:val="404040"/>
                <w:sz w:val="18"/>
                <w:szCs w:val="18"/>
              </w:rPr>
              <w:t>100%</w:t>
            </w:r>
          </w:p>
        </w:tc>
      </w:tr>
      <w:tr w:rsidR="006052A5" w14:paraId="5A98971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511CB1" w14:textId="77777777" w:rsidR="006052A5" w:rsidRDefault="00000000">
            <w:pPr>
              <w:spacing w:before="20" w:after="20"/>
              <w:jc w:val="center"/>
            </w:pPr>
            <w:r>
              <w:rPr>
                <w:color w:val="404040"/>
                <w:sz w:val="18"/>
                <w:szCs w:val="18"/>
              </w:rPr>
              <w:t>36</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C6AFBA" w14:textId="77777777" w:rsidR="006052A5" w:rsidRDefault="00000000">
            <w:pPr>
              <w:spacing w:before="20" w:after="20"/>
            </w:pPr>
            <w:r>
              <w:rPr>
                <w:color w:val="404040"/>
                <w:sz w:val="18"/>
                <w:szCs w:val="18"/>
              </w:rPr>
              <w:t>Seeking opportunities from education policy and research</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507552" w14:textId="77777777" w:rsidR="006052A5" w:rsidRDefault="00000000">
            <w:pPr>
              <w:spacing w:before="20" w:after="20"/>
              <w:jc w:val="center"/>
            </w:pPr>
            <w:r>
              <w:rPr>
                <w:color w:val="404040"/>
                <w:sz w:val="18"/>
                <w:szCs w:val="18"/>
              </w:rPr>
              <w:t>3.72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B1A348" w14:textId="77777777" w:rsidR="006052A5" w:rsidRDefault="00000000">
            <w:pPr>
              <w:spacing w:before="20" w:after="20"/>
              <w:jc w:val="center"/>
            </w:pPr>
            <w:r>
              <w:rPr>
                <w:color w:val="404040"/>
                <w:sz w:val="18"/>
                <w:szCs w:val="18"/>
              </w:rPr>
              <w:t>0.54</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D1C87D"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053A40" w14:textId="77777777" w:rsidR="006052A5" w:rsidRDefault="00000000">
            <w:pPr>
              <w:spacing w:before="20" w:after="20"/>
              <w:jc w:val="center"/>
            </w:pPr>
            <w:r>
              <w:rPr>
                <w:color w:val="404040"/>
                <w:sz w:val="18"/>
                <w:szCs w:val="18"/>
              </w:rPr>
              <w:t>96%</w:t>
            </w:r>
          </w:p>
        </w:tc>
      </w:tr>
      <w:tr w:rsidR="006052A5" w14:paraId="5CC341A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AE95880" w14:textId="77777777" w:rsidR="006052A5" w:rsidRDefault="00000000">
            <w:pPr>
              <w:spacing w:before="20" w:after="20"/>
              <w:jc w:val="center"/>
            </w:pPr>
            <w:r>
              <w:rPr>
                <w:color w:val="404040"/>
                <w:sz w:val="18"/>
                <w:szCs w:val="18"/>
              </w:rPr>
              <w:t>37</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4F4E5BD" w14:textId="77777777" w:rsidR="006052A5" w:rsidRDefault="00000000">
            <w:pPr>
              <w:spacing w:before="20" w:after="20"/>
            </w:pPr>
            <w:r>
              <w:rPr>
                <w:color w:val="404040"/>
                <w:sz w:val="18"/>
                <w:szCs w:val="18"/>
              </w:rPr>
              <w:t>Understanding professional expectations and codes of ethics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21E6930"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3B634FF"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01BFD52"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CD1EECF" w14:textId="77777777" w:rsidR="006052A5" w:rsidRDefault="00000000">
            <w:pPr>
              <w:spacing w:before="20" w:after="20"/>
              <w:jc w:val="center"/>
            </w:pPr>
            <w:r>
              <w:rPr>
                <w:color w:val="404040"/>
                <w:sz w:val="18"/>
                <w:szCs w:val="18"/>
              </w:rPr>
              <w:t>100%</w:t>
            </w:r>
          </w:p>
        </w:tc>
      </w:tr>
      <w:tr w:rsidR="006052A5" w14:paraId="5CEB043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B9B3CD" w14:textId="77777777" w:rsidR="006052A5" w:rsidRDefault="00000000">
            <w:pPr>
              <w:spacing w:before="20" w:after="20"/>
              <w:jc w:val="center"/>
            </w:pPr>
            <w:r>
              <w:rPr>
                <w:color w:val="404040"/>
                <w:sz w:val="18"/>
                <w:szCs w:val="18"/>
              </w:rPr>
              <w:t>38</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33920A" w14:textId="77777777" w:rsidR="006052A5" w:rsidRDefault="00000000">
            <w:pPr>
              <w:spacing w:before="20" w:after="20"/>
            </w:pPr>
            <w:r>
              <w:rPr>
                <w:color w:val="404040"/>
                <w:sz w:val="18"/>
                <w:szCs w:val="18"/>
              </w:rPr>
              <w:t>Sharing responsibility for supporting school mission</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769047"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89DD5E"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FE3671"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7B57FA" w14:textId="77777777" w:rsidR="006052A5" w:rsidRDefault="00000000">
            <w:pPr>
              <w:spacing w:before="20" w:after="20"/>
              <w:jc w:val="center"/>
            </w:pPr>
            <w:r>
              <w:rPr>
                <w:color w:val="404040"/>
                <w:sz w:val="18"/>
                <w:szCs w:val="18"/>
              </w:rPr>
              <w:t>100%</w:t>
            </w:r>
          </w:p>
        </w:tc>
      </w:tr>
      <w:tr w:rsidR="006052A5" w14:paraId="0498F83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F0E59B9" w14:textId="77777777" w:rsidR="006052A5" w:rsidRDefault="00000000">
            <w:pPr>
              <w:spacing w:before="20" w:after="20"/>
              <w:jc w:val="center"/>
            </w:pPr>
            <w:r>
              <w:rPr>
                <w:color w:val="404040"/>
                <w:sz w:val="18"/>
                <w:szCs w:val="18"/>
              </w:rPr>
              <w:t>39</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494E593" w14:textId="77777777" w:rsidR="006052A5" w:rsidRDefault="00000000">
            <w:pPr>
              <w:spacing w:before="20" w:after="20"/>
            </w:pPr>
            <w:r>
              <w:rPr>
                <w:color w:val="404040"/>
                <w:sz w:val="18"/>
                <w:szCs w:val="18"/>
              </w:rPr>
              <w:t>Respecting families' beliefs and working collaboratively</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F380A4C" w14:textId="77777777" w:rsidR="006052A5"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3EFF3E8" w14:textId="77777777" w:rsidR="006052A5" w:rsidRDefault="00000000">
            <w:pPr>
              <w:spacing w:before="20" w:after="20"/>
              <w:jc w:val="center"/>
            </w:pPr>
            <w:r>
              <w:rPr>
                <w:color w:val="404040"/>
                <w:sz w:val="18"/>
                <w:szCs w:val="18"/>
              </w:rPr>
              <w:t>0.28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76CCD25"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406D152" w14:textId="77777777" w:rsidR="006052A5" w:rsidRDefault="00000000">
            <w:pPr>
              <w:spacing w:before="20" w:after="20"/>
              <w:jc w:val="center"/>
            </w:pPr>
            <w:r>
              <w:rPr>
                <w:color w:val="404040"/>
                <w:sz w:val="18"/>
                <w:szCs w:val="18"/>
              </w:rPr>
              <w:t>100%</w:t>
            </w:r>
          </w:p>
        </w:tc>
      </w:tr>
      <w:tr w:rsidR="006052A5" w14:paraId="00CAF2FB"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76AC51" w14:textId="77777777" w:rsidR="006052A5" w:rsidRDefault="00000000">
            <w:pPr>
              <w:spacing w:before="20" w:after="20"/>
              <w:jc w:val="center"/>
            </w:pPr>
            <w:r>
              <w:rPr>
                <w:color w:val="404040"/>
                <w:sz w:val="18"/>
                <w:szCs w:val="18"/>
              </w:rPr>
              <w:t>40</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BD9FEE" w14:textId="77777777" w:rsidR="006052A5" w:rsidRDefault="00000000">
            <w:pPr>
              <w:spacing w:before="20" w:after="20"/>
            </w:pPr>
            <w:r>
              <w:rPr>
                <w:color w:val="404040"/>
                <w:sz w:val="18"/>
                <w:szCs w:val="18"/>
              </w:rPr>
              <w:t>Taking initiative to grow with colleagues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AD34B9"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CC46B9"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C1CC72"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CD15D2" w14:textId="77777777" w:rsidR="006052A5" w:rsidRDefault="00000000">
            <w:pPr>
              <w:spacing w:before="20" w:after="20"/>
              <w:jc w:val="center"/>
            </w:pPr>
            <w:r>
              <w:rPr>
                <w:color w:val="404040"/>
                <w:sz w:val="18"/>
                <w:szCs w:val="18"/>
              </w:rPr>
              <w:t>100%</w:t>
            </w:r>
          </w:p>
        </w:tc>
      </w:tr>
      <w:tr w:rsidR="006052A5" w14:paraId="0A153F8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4D84AEC" w14:textId="77777777" w:rsidR="006052A5" w:rsidRDefault="00000000">
            <w:pPr>
              <w:spacing w:before="20" w:after="20"/>
              <w:jc w:val="center"/>
            </w:pPr>
            <w:r>
              <w:rPr>
                <w:color w:val="404040"/>
                <w:sz w:val="18"/>
                <w:szCs w:val="18"/>
              </w:rPr>
              <w:t>41</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8BEFB00" w14:textId="77777777" w:rsidR="006052A5" w:rsidRDefault="00000000">
            <w:pPr>
              <w:spacing w:before="20" w:after="20"/>
            </w:pPr>
            <w:r>
              <w:rPr>
                <w:color w:val="404040"/>
                <w:sz w:val="18"/>
                <w:szCs w:val="18"/>
              </w:rPr>
              <w:t>Taking responsibility for advancing the profession</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1B02E57" w14:textId="77777777" w:rsidR="006052A5" w:rsidRDefault="00000000">
            <w:pPr>
              <w:spacing w:before="20" w:after="20"/>
              <w:jc w:val="center"/>
            </w:pPr>
            <w:r>
              <w:rPr>
                <w:color w:val="404040"/>
                <w:sz w:val="18"/>
                <w:szCs w:val="18"/>
              </w:rPr>
              <w:t>3.84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EEEA116" w14:textId="77777777" w:rsidR="006052A5" w:rsidRDefault="00000000">
            <w:pPr>
              <w:spacing w:before="20" w:after="20"/>
              <w:jc w:val="center"/>
            </w:pPr>
            <w:r>
              <w:rPr>
                <w:color w:val="404040"/>
                <w:sz w:val="18"/>
                <w:szCs w:val="18"/>
              </w:rPr>
              <w:t>0.37</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3A6AEE5"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C90623B" w14:textId="77777777" w:rsidR="006052A5" w:rsidRDefault="00000000">
            <w:pPr>
              <w:spacing w:before="20" w:after="20"/>
              <w:jc w:val="center"/>
            </w:pPr>
            <w:r>
              <w:rPr>
                <w:color w:val="404040"/>
                <w:sz w:val="18"/>
                <w:szCs w:val="18"/>
              </w:rPr>
              <w:t>100%</w:t>
            </w:r>
          </w:p>
        </w:tc>
      </w:tr>
      <w:tr w:rsidR="006052A5" w14:paraId="104FC71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324267" w14:textId="77777777" w:rsidR="006052A5" w:rsidRDefault="00000000">
            <w:pPr>
              <w:spacing w:before="20" w:after="20"/>
              <w:jc w:val="center"/>
            </w:pPr>
            <w:r>
              <w:rPr>
                <w:color w:val="404040"/>
                <w:sz w:val="18"/>
                <w:szCs w:val="18"/>
              </w:rPr>
              <w:t>42</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2A6400" w14:textId="77777777" w:rsidR="006052A5" w:rsidRDefault="00000000">
            <w:pPr>
              <w:spacing w:before="20" w:after="20"/>
            </w:pPr>
            <w:r>
              <w:rPr>
                <w:color w:val="404040"/>
                <w:sz w:val="18"/>
                <w:szCs w:val="18"/>
              </w:rPr>
              <w:t>Embracing the challenge of continuous improvement</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4B3421"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1BD7E9"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37047F"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B469E8" w14:textId="77777777" w:rsidR="006052A5" w:rsidRDefault="00000000">
            <w:pPr>
              <w:spacing w:before="20" w:after="20"/>
              <w:jc w:val="center"/>
            </w:pPr>
            <w:r>
              <w:rPr>
                <w:color w:val="404040"/>
                <w:sz w:val="18"/>
                <w:szCs w:val="18"/>
              </w:rPr>
              <w:t>100%</w:t>
            </w:r>
          </w:p>
        </w:tc>
      </w:tr>
    </w:tbl>
    <w:p w14:paraId="5F95A714" w14:textId="77777777" w:rsidR="006052A5" w:rsidRDefault="006052A5">
      <w:pPr>
        <w:spacing w:before="40" w:after="40"/>
      </w:pPr>
    </w:p>
    <w:p w14:paraId="0B378F6C" w14:textId="77777777" w:rsidR="006052A5" w:rsidRDefault="00000000">
      <w:pPr>
        <w:spacing w:before="80" w:after="80" w:line="276" w:lineRule="auto"/>
      </w:pPr>
      <w:r>
        <w:rPr>
          <w:color w:val="404040"/>
        </w:rPr>
        <w:t>Item 36 (seeking opportunities from education policy and research: M = 3.72, SD = 0.54) represents the lowest score in this sub-area, suggesting an opportunity to strengthen connections between coursework and current education policy.</w:t>
      </w:r>
    </w:p>
    <w:p w14:paraId="6D85DDF3" w14:textId="77777777" w:rsidR="006052A5" w:rsidRDefault="00000000">
      <w:r>
        <w:br w:type="page"/>
      </w:r>
    </w:p>
    <w:p w14:paraId="43A0AA90" w14:textId="77777777" w:rsidR="006052A5" w:rsidRDefault="00000000">
      <w:pPr>
        <w:pStyle w:val="Heading2"/>
      </w:pPr>
      <w:r>
        <w:lastRenderedPageBreak/>
        <w:t>3.4 Domain 3: Digital Competencies</w:t>
      </w:r>
    </w:p>
    <w:p w14:paraId="05BC36C0" w14:textId="77777777" w:rsidR="006052A5" w:rsidRDefault="00000000">
      <w:pPr>
        <w:spacing w:before="80" w:after="80" w:line="276" w:lineRule="auto"/>
      </w:pPr>
      <w:r>
        <w:rPr>
          <w:color w:val="404040"/>
        </w:rPr>
        <w:t>This domain comprises 10 items assessing preparation in technology integration, AI, digital media, and professional learning networks. Domain mean: 3.83 (SD = 0.38), with 100% of responses at the acceptable level.</w:t>
      </w:r>
    </w:p>
    <w:p w14:paraId="208D0E76" w14:textId="77777777" w:rsidR="006052A5" w:rsidRDefault="00000000">
      <w:pPr>
        <w:spacing w:before="200" w:after="120"/>
      </w:pPr>
      <w:r>
        <w:rPr>
          <w:b/>
          <w:bCs/>
          <w:color w:val="1F3864"/>
          <w:sz w:val="22"/>
          <w:szCs w:val="22"/>
        </w:rPr>
        <w:t>Digital Competencies — Item-Level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
        <w:gridCol w:w="4470"/>
        <w:gridCol w:w="1095"/>
        <w:gridCol w:w="1093"/>
        <w:gridCol w:w="1091"/>
        <w:gridCol w:w="1161"/>
      </w:tblGrid>
      <w:tr w:rsidR="006052A5" w14:paraId="2883F32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E708CDF" w14:textId="77777777" w:rsidR="006052A5"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ED93635" w14:textId="77777777" w:rsidR="006052A5"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E015803" w14:textId="77777777" w:rsidR="006052A5"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49A2CE0" w14:textId="77777777" w:rsidR="006052A5"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9B879A6" w14:textId="77777777" w:rsidR="006052A5"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51F9AD8" w14:textId="77777777" w:rsidR="006052A5" w:rsidRDefault="00000000">
            <w:pPr>
              <w:jc w:val="center"/>
            </w:pPr>
            <w:r>
              <w:rPr>
                <w:b/>
                <w:bCs/>
                <w:color w:val="FFFFFF"/>
                <w:sz w:val="18"/>
                <w:szCs w:val="18"/>
              </w:rPr>
              <w:t>% Acceptable</w:t>
            </w:r>
          </w:p>
        </w:tc>
      </w:tr>
      <w:tr w:rsidR="006052A5" w14:paraId="658B495F"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14498D" w14:textId="77777777" w:rsidR="006052A5" w:rsidRDefault="00000000">
            <w:pPr>
              <w:spacing w:before="20" w:after="20"/>
              <w:jc w:val="center"/>
            </w:pPr>
            <w:r>
              <w:rPr>
                <w:color w:val="404040"/>
                <w:sz w:val="18"/>
                <w:szCs w:val="18"/>
              </w:rPr>
              <w:t>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56A85F" w14:textId="77777777" w:rsidR="006052A5" w:rsidRDefault="00000000">
            <w:pPr>
              <w:spacing w:before="20" w:after="20"/>
            </w:pPr>
            <w:r>
              <w:rPr>
                <w:color w:val="404040"/>
                <w:sz w:val="18"/>
                <w:szCs w:val="18"/>
              </w:rPr>
              <w:t>Designing student-centered learning environments using technology and AI</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8631E7" w14:textId="77777777" w:rsidR="006052A5"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35729D" w14:textId="77777777" w:rsidR="006052A5" w:rsidRDefault="00000000">
            <w:pPr>
              <w:spacing w:before="20" w:after="20"/>
              <w:jc w:val="center"/>
            </w:pPr>
            <w:r>
              <w:rPr>
                <w:color w:val="404040"/>
                <w:sz w:val="18"/>
                <w:szCs w:val="18"/>
              </w:rPr>
              <w:t>0.38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7AC914" w14:textId="77777777" w:rsidR="006052A5" w:rsidRDefault="00000000">
            <w:pPr>
              <w:spacing w:before="20" w:after="20"/>
              <w:jc w:val="center"/>
            </w:pPr>
            <w:r>
              <w:rPr>
                <w:color w:val="404040"/>
                <w:sz w:val="18"/>
                <w:szCs w:val="18"/>
              </w:rPr>
              <w:t>24</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80C827" w14:textId="77777777" w:rsidR="006052A5" w:rsidRDefault="00000000">
            <w:pPr>
              <w:spacing w:before="20" w:after="20"/>
              <w:jc w:val="center"/>
            </w:pPr>
            <w:r>
              <w:rPr>
                <w:color w:val="404040"/>
                <w:sz w:val="18"/>
                <w:szCs w:val="18"/>
              </w:rPr>
              <w:t>100%</w:t>
            </w:r>
          </w:p>
        </w:tc>
      </w:tr>
      <w:tr w:rsidR="006052A5" w14:paraId="28FE351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B8AAD1C" w14:textId="77777777" w:rsidR="006052A5" w:rsidRDefault="00000000">
            <w:pPr>
              <w:spacing w:before="20" w:after="20"/>
              <w:jc w:val="center"/>
            </w:pPr>
            <w:r>
              <w:rPr>
                <w:color w:val="404040"/>
                <w:sz w:val="18"/>
                <w:szCs w:val="18"/>
              </w:rPr>
              <w:t>2</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21FDEB9" w14:textId="77777777" w:rsidR="006052A5" w:rsidRDefault="00000000">
            <w:pPr>
              <w:spacing w:before="20" w:after="20"/>
            </w:pPr>
            <w:r>
              <w:rPr>
                <w:color w:val="404040"/>
                <w:sz w:val="18"/>
                <w:szCs w:val="18"/>
              </w:rPr>
              <w:t>Using AI to generate educational content ethically</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BB000A1" w14:textId="77777777" w:rsidR="006052A5" w:rsidRDefault="00000000">
            <w:pPr>
              <w:spacing w:before="20" w:after="20"/>
              <w:jc w:val="center"/>
            </w:pPr>
            <w:r>
              <w:rPr>
                <w:color w:val="404040"/>
                <w:sz w:val="18"/>
                <w:szCs w:val="18"/>
              </w:rPr>
              <w:t>3.84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A14D46A" w14:textId="77777777" w:rsidR="006052A5" w:rsidRDefault="00000000">
            <w:pPr>
              <w:spacing w:before="20" w:after="20"/>
              <w:jc w:val="center"/>
            </w:pPr>
            <w:r>
              <w:rPr>
                <w:color w:val="404040"/>
                <w:sz w:val="18"/>
                <w:szCs w:val="18"/>
              </w:rPr>
              <w:t>0.37</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C25D2A2"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20E4872" w14:textId="77777777" w:rsidR="006052A5" w:rsidRDefault="00000000">
            <w:pPr>
              <w:spacing w:before="20" w:after="20"/>
              <w:jc w:val="center"/>
            </w:pPr>
            <w:r>
              <w:rPr>
                <w:color w:val="404040"/>
                <w:sz w:val="18"/>
                <w:szCs w:val="18"/>
              </w:rPr>
              <w:t>100%</w:t>
            </w:r>
          </w:p>
        </w:tc>
      </w:tr>
      <w:tr w:rsidR="006052A5" w14:paraId="56E8BC49"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46F6E4" w14:textId="77777777" w:rsidR="006052A5" w:rsidRDefault="00000000">
            <w:pPr>
              <w:spacing w:before="20" w:after="20"/>
              <w:jc w:val="center"/>
            </w:pPr>
            <w:r>
              <w:rPr>
                <w:color w:val="404040"/>
                <w:sz w:val="18"/>
                <w:szCs w:val="18"/>
              </w:rPr>
              <w:t>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7A4C44" w14:textId="77777777" w:rsidR="006052A5" w:rsidRDefault="00000000">
            <w:pPr>
              <w:spacing w:before="20" w:after="20"/>
            </w:pPr>
            <w:r>
              <w:rPr>
                <w:color w:val="404040"/>
                <w:sz w:val="18"/>
                <w:szCs w:val="18"/>
              </w:rPr>
              <w:t>Applying interactive tools (simulations, virtual labs, chatbots)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CC9276" w14:textId="77777777" w:rsidR="006052A5" w:rsidRDefault="00000000">
            <w:pPr>
              <w:spacing w:before="20" w:after="20"/>
              <w:jc w:val="center"/>
            </w:pPr>
            <w:r>
              <w:rPr>
                <w:color w:val="404040"/>
                <w:sz w:val="18"/>
                <w:szCs w:val="18"/>
              </w:rPr>
              <w:t>3.76</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1B96D4" w14:textId="77777777" w:rsidR="006052A5" w:rsidRDefault="00000000">
            <w:pPr>
              <w:spacing w:before="20" w:after="20"/>
              <w:jc w:val="center"/>
            </w:pPr>
            <w:r>
              <w:rPr>
                <w:color w:val="404040"/>
                <w:sz w:val="18"/>
                <w:szCs w:val="18"/>
              </w:rPr>
              <w:t>0.44</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761450"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F61DFA" w14:textId="77777777" w:rsidR="006052A5" w:rsidRDefault="00000000">
            <w:pPr>
              <w:spacing w:before="20" w:after="20"/>
              <w:jc w:val="center"/>
            </w:pPr>
            <w:r>
              <w:rPr>
                <w:color w:val="404040"/>
                <w:sz w:val="18"/>
                <w:szCs w:val="18"/>
              </w:rPr>
              <w:t>100%</w:t>
            </w:r>
          </w:p>
        </w:tc>
      </w:tr>
      <w:tr w:rsidR="006052A5" w14:paraId="4BB4656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98C2CC3" w14:textId="77777777" w:rsidR="006052A5" w:rsidRDefault="00000000">
            <w:pPr>
              <w:spacing w:before="20" w:after="20"/>
              <w:jc w:val="center"/>
            </w:pPr>
            <w:r>
              <w:rPr>
                <w:color w:val="404040"/>
                <w:sz w:val="18"/>
                <w:szCs w:val="18"/>
              </w:rPr>
              <w:t>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19E126D" w14:textId="77777777" w:rsidR="006052A5" w:rsidRDefault="00000000">
            <w:pPr>
              <w:spacing w:before="20" w:after="20"/>
            </w:pPr>
            <w:r>
              <w:rPr>
                <w:color w:val="404040"/>
                <w:sz w:val="18"/>
                <w:szCs w:val="18"/>
              </w:rPr>
              <w:t>Using digital media to enhance learning and dialogue</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835B46B" w14:textId="77777777" w:rsidR="006052A5" w:rsidRDefault="00000000">
            <w:pPr>
              <w:spacing w:before="20" w:after="20"/>
              <w:jc w:val="center"/>
            </w:pPr>
            <w:r>
              <w:rPr>
                <w:color w:val="404040"/>
                <w:sz w:val="18"/>
                <w:szCs w:val="18"/>
              </w:rPr>
              <w:t>3.84</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F573805" w14:textId="77777777" w:rsidR="006052A5" w:rsidRDefault="00000000">
            <w:pPr>
              <w:spacing w:before="20" w:after="20"/>
              <w:jc w:val="center"/>
            </w:pPr>
            <w:r>
              <w:rPr>
                <w:color w:val="404040"/>
                <w:sz w:val="18"/>
                <w:szCs w:val="18"/>
              </w:rPr>
              <w:t>0.37</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00D1F23"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2705D34" w14:textId="77777777" w:rsidR="006052A5" w:rsidRDefault="00000000">
            <w:pPr>
              <w:spacing w:before="20" w:after="20"/>
              <w:jc w:val="center"/>
            </w:pPr>
            <w:r>
              <w:rPr>
                <w:color w:val="404040"/>
                <w:sz w:val="18"/>
                <w:szCs w:val="18"/>
              </w:rPr>
              <w:t>100%</w:t>
            </w:r>
          </w:p>
        </w:tc>
      </w:tr>
      <w:tr w:rsidR="006052A5" w14:paraId="024DE849"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A35EF5" w14:textId="77777777" w:rsidR="006052A5" w:rsidRDefault="00000000">
            <w:pPr>
              <w:spacing w:before="20" w:after="20"/>
              <w:jc w:val="center"/>
            </w:pPr>
            <w:r>
              <w:rPr>
                <w:color w:val="404040"/>
                <w:sz w:val="18"/>
                <w:szCs w:val="18"/>
              </w:rPr>
              <w:t>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7ED9D6" w14:textId="77777777" w:rsidR="006052A5" w:rsidRDefault="00000000">
            <w:pPr>
              <w:spacing w:before="20" w:after="20"/>
            </w:pPr>
            <w:r>
              <w:rPr>
                <w:color w:val="404040"/>
                <w:sz w:val="18"/>
                <w:szCs w:val="18"/>
              </w:rPr>
              <w:t>Designing digital resources aligned to curricular standards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77B1C0"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EABF68"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BDDC83"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C15E5D" w14:textId="77777777" w:rsidR="006052A5" w:rsidRDefault="00000000">
            <w:pPr>
              <w:spacing w:before="20" w:after="20"/>
              <w:jc w:val="center"/>
            </w:pPr>
            <w:r>
              <w:rPr>
                <w:color w:val="404040"/>
                <w:sz w:val="18"/>
                <w:szCs w:val="18"/>
              </w:rPr>
              <w:t>100%</w:t>
            </w:r>
          </w:p>
        </w:tc>
      </w:tr>
      <w:tr w:rsidR="006052A5" w14:paraId="5893652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1D4EB7A" w14:textId="77777777" w:rsidR="006052A5" w:rsidRDefault="00000000">
            <w:pPr>
              <w:spacing w:before="20" w:after="20"/>
              <w:jc w:val="center"/>
            </w:pPr>
            <w:r>
              <w:rPr>
                <w:color w:val="404040"/>
                <w:sz w:val="18"/>
                <w:szCs w:val="18"/>
              </w:rPr>
              <w:t>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05A4837" w14:textId="77777777" w:rsidR="006052A5" w:rsidRDefault="00000000">
            <w:pPr>
              <w:spacing w:before="20" w:after="20"/>
            </w:pPr>
            <w:r>
              <w:rPr>
                <w:color w:val="404040"/>
                <w:sz w:val="18"/>
                <w:szCs w:val="18"/>
              </w:rPr>
              <w:t>Using technology tools for assessment and data interpretation</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2914CDB"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B3E2874" w14:textId="77777777" w:rsidR="006052A5" w:rsidRDefault="00000000">
            <w:pPr>
              <w:spacing w:before="20" w:after="20"/>
              <w:jc w:val="center"/>
            </w:pPr>
            <w:r>
              <w:rPr>
                <w:color w:val="404040"/>
                <w:sz w:val="18"/>
                <w:szCs w:val="18"/>
              </w:rPr>
              <w:t>0.41</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AA2BB24"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FF22C1F" w14:textId="77777777" w:rsidR="006052A5" w:rsidRDefault="00000000">
            <w:pPr>
              <w:spacing w:before="20" w:after="20"/>
              <w:jc w:val="center"/>
            </w:pPr>
            <w:r>
              <w:rPr>
                <w:color w:val="404040"/>
                <w:sz w:val="18"/>
                <w:szCs w:val="18"/>
              </w:rPr>
              <w:t>100%</w:t>
            </w:r>
          </w:p>
        </w:tc>
      </w:tr>
      <w:tr w:rsidR="006052A5" w14:paraId="6F15621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9C2C03" w14:textId="77777777" w:rsidR="006052A5" w:rsidRDefault="00000000">
            <w:pPr>
              <w:spacing w:before="20" w:after="20"/>
              <w:jc w:val="center"/>
            </w:pPr>
            <w:r>
              <w:rPr>
                <w:color w:val="404040"/>
                <w:sz w:val="18"/>
                <w:szCs w:val="18"/>
              </w:rPr>
              <w:t>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513452" w14:textId="77777777" w:rsidR="006052A5" w:rsidRDefault="00000000">
            <w:pPr>
              <w:spacing w:before="20" w:after="20"/>
            </w:pPr>
            <w:r>
              <w:rPr>
                <w:color w:val="404040"/>
                <w:sz w:val="18"/>
                <w:szCs w:val="18"/>
              </w:rPr>
              <w:t>Promoting responsible technology use and digital citizenship</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5127B3" w14:textId="77777777" w:rsidR="006052A5" w:rsidRDefault="00000000">
            <w:pPr>
              <w:spacing w:before="20" w:after="20"/>
              <w:jc w:val="center"/>
            </w:pPr>
            <w:r>
              <w:rPr>
                <w:color w:val="404040"/>
                <w:sz w:val="18"/>
                <w:szCs w:val="18"/>
              </w:rPr>
              <w:t>3.96</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6CC5D0" w14:textId="77777777" w:rsidR="006052A5" w:rsidRDefault="00000000">
            <w:pPr>
              <w:spacing w:before="20" w:after="20"/>
              <w:jc w:val="center"/>
            </w:pPr>
            <w:r>
              <w:rPr>
                <w:color w:val="404040"/>
                <w:sz w:val="18"/>
                <w:szCs w:val="18"/>
              </w:rPr>
              <w:t>0.20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ED707E"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014087" w14:textId="77777777" w:rsidR="006052A5" w:rsidRDefault="00000000">
            <w:pPr>
              <w:spacing w:before="20" w:after="20"/>
              <w:jc w:val="center"/>
            </w:pPr>
            <w:r>
              <w:rPr>
                <w:color w:val="404040"/>
                <w:sz w:val="18"/>
                <w:szCs w:val="18"/>
              </w:rPr>
              <w:t>100%</w:t>
            </w:r>
          </w:p>
        </w:tc>
      </w:tr>
      <w:tr w:rsidR="006052A5" w14:paraId="7B6A315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2601D17" w14:textId="77777777" w:rsidR="006052A5" w:rsidRDefault="00000000">
            <w:pPr>
              <w:spacing w:before="20" w:after="20"/>
              <w:jc w:val="center"/>
            </w:pPr>
            <w:r>
              <w:rPr>
                <w:color w:val="404040"/>
                <w:sz w:val="18"/>
                <w:szCs w:val="18"/>
              </w:rPr>
              <w:t>8</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C48B905" w14:textId="77777777" w:rsidR="006052A5" w:rsidRDefault="00000000">
            <w:pPr>
              <w:spacing w:before="20" w:after="20"/>
            </w:pPr>
            <w:r>
              <w:rPr>
                <w:color w:val="404040"/>
                <w:sz w:val="18"/>
                <w:szCs w:val="18"/>
              </w:rPr>
              <w:t>Engaging in digital collaboration with peers and experts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CEEE176"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34C543F" w14:textId="77777777" w:rsidR="006052A5" w:rsidRDefault="00000000">
            <w:pPr>
              <w:spacing w:before="20" w:after="20"/>
              <w:jc w:val="center"/>
            </w:pPr>
            <w:r>
              <w:rPr>
                <w:color w:val="404040"/>
                <w:sz w:val="18"/>
                <w:szCs w:val="18"/>
              </w:rPr>
              <w:t>0.41</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248A969"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89807A5" w14:textId="77777777" w:rsidR="006052A5" w:rsidRDefault="00000000">
            <w:pPr>
              <w:spacing w:before="20" w:after="20"/>
              <w:jc w:val="center"/>
            </w:pPr>
            <w:r>
              <w:rPr>
                <w:color w:val="404040"/>
                <w:sz w:val="18"/>
                <w:szCs w:val="18"/>
              </w:rPr>
              <w:t>100%</w:t>
            </w:r>
          </w:p>
        </w:tc>
      </w:tr>
      <w:tr w:rsidR="006052A5" w14:paraId="1FCEF3E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F49055" w14:textId="77777777" w:rsidR="006052A5" w:rsidRDefault="00000000">
            <w:pPr>
              <w:spacing w:before="20" w:after="20"/>
              <w:jc w:val="center"/>
            </w:pPr>
            <w:r>
              <w:rPr>
                <w:color w:val="404040"/>
                <w:sz w:val="18"/>
                <w:szCs w:val="18"/>
              </w:rPr>
              <w:t>9</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851D4BC" w14:textId="77777777" w:rsidR="006052A5" w:rsidRDefault="00000000">
            <w:pPr>
              <w:spacing w:before="20" w:after="20"/>
            </w:pPr>
            <w:r>
              <w:rPr>
                <w:color w:val="404040"/>
                <w:sz w:val="18"/>
                <w:szCs w:val="18"/>
              </w:rPr>
              <w:t>Leveraging emerging technologies (AR, adaptive platforms, AI)</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5B118F" w14:textId="77777777" w:rsidR="006052A5" w:rsidRDefault="00000000">
            <w:pPr>
              <w:spacing w:before="20" w:after="20"/>
              <w:jc w:val="center"/>
            </w:pPr>
            <w:r>
              <w:rPr>
                <w:color w:val="404040"/>
                <w:sz w:val="18"/>
                <w:szCs w:val="18"/>
              </w:rPr>
              <w:t>3.68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BD4595" w14:textId="77777777" w:rsidR="006052A5" w:rsidRDefault="00000000">
            <w:pPr>
              <w:spacing w:before="20" w:after="20"/>
              <w:jc w:val="center"/>
            </w:pPr>
            <w:r>
              <w:rPr>
                <w:color w:val="404040"/>
                <w:sz w:val="18"/>
                <w:szCs w:val="18"/>
              </w:rPr>
              <w:t>0.48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234C87"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3BCA5B" w14:textId="77777777" w:rsidR="006052A5" w:rsidRDefault="00000000">
            <w:pPr>
              <w:spacing w:before="20" w:after="20"/>
              <w:jc w:val="center"/>
            </w:pPr>
            <w:r>
              <w:rPr>
                <w:color w:val="404040"/>
                <w:sz w:val="18"/>
                <w:szCs w:val="18"/>
              </w:rPr>
              <w:t>100%</w:t>
            </w:r>
          </w:p>
        </w:tc>
      </w:tr>
      <w:tr w:rsidR="006052A5" w14:paraId="2ED692BE"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16ECB03" w14:textId="77777777" w:rsidR="006052A5" w:rsidRDefault="00000000">
            <w:pPr>
              <w:spacing w:before="20" w:after="20"/>
              <w:jc w:val="center"/>
            </w:pPr>
            <w:r>
              <w:rPr>
                <w:color w:val="404040"/>
                <w:sz w:val="18"/>
                <w:szCs w:val="18"/>
              </w:rPr>
              <w:t>10</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26F2ED8" w14:textId="77777777" w:rsidR="006052A5" w:rsidRDefault="00000000">
            <w:pPr>
              <w:spacing w:before="20" w:after="20"/>
            </w:pPr>
            <w:r>
              <w:rPr>
                <w:color w:val="404040"/>
                <w:sz w:val="18"/>
                <w:szCs w:val="18"/>
              </w:rPr>
              <w:t>Participating in professional learning networks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E64FEDE"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39261CA" w14:textId="77777777" w:rsidR="006052A5" w:rsidRDefault="00000000">
            <w:pPr>
              <w:spacing w:before="20" w:after="20"/>
              <w:jc w:val="center"/>
            </w:pPr>
            <w:r>
              <w:rPr>
                <w:color w:val="404040"/>
                <w:sz w:val="18"/>
                <w:szCs w:val="18"/>
              </w:rPr>
              <w:t>0.41</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1BE65BD"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051D7F5" w14:textId="77777777" w:rsidR="006052A5" w:rsidRDefault="00000000">
            <w:pPr>
              <w:spacing w:before="20" w:after="20"/>
              <w:jc w:val="center"/>
            </w:pPr>
            <w:r>
              <w:rPr>
                <w:color w:val="404040"/>
                <w:sz w:val="18"/>
                <w:szCs w:val="18"/>
              </w:rPr>
              <w:t>100%</w:t>
            </w:r>
          </w:p>
        </w:tc>
      </w:tr>
    </w:tbl>
    <w:p w14:paraId="78C85A76" w14:textId="77777777" w:rsidR="006052A5" w:rsidRDefault="006052A5">
      <w:pPr>
        <w:spacing w:before="40" w:after="40"/>
      </w:pPr>
    </w:p>
    <w:p w14:paraId="39436019" w14:textId="77777777" w:rsidR="006052A5" w:rsidRDefault="00000000">
      <w:pPr>
        <w:spacing w:before="80" w:after="80" w:line="276" w:lineRule="auto"/>
      </w:pPr>
      <w:r>
        <w:rPr>
          <w:color w:val="404040"/>
        </w:rPr>
        <w:t>All items achieved 100% acceptable level. Promoting responsible technology use (M = 3.96) was the highest-rated item. Leveraging emerging technologies such as AR and adaptive platforms (M = 3.68) was the lowest, suggesting an opportunity for deeper integration of cutting-edge educational technologies.</w:t>
      </w:r>
    </w:p>
    <w:p w14:paraId="68CA62E4" w14:textId="77777777" w:rsidR="006052A5" w:rsidRDefault="00000000">
      <w:pPr>
        <w:pStyle w:val="Heading2"/>
      </w:pPr>
      <w:r>
        <w:t>3.5 Program Component Evaluation</w:t>
      </w:r>
    </w:p>
    <w:p w14:paraId="3740AD6E" w14:textId="77777777" w:rsidR="006052A5" w:rsidRDefault="00000000">
      <w:pPr>
        <w:spacing w:before="80" w:after="80" w:line="276" w:lineRule="auto"/>
      </w:pPr>
      <w:r>
        <w:rPr>
          <w:color w:val="404040"/>
        </w:rPr>
        <w:t>Eight items assessed completers’ evaluation of specific program components. Domain mean: 3.80 (SD = 0.44), with 98.5% at the acceptable level.</w:t>
      </w:r>
    </w:p>
    <w:p w14:paraId="474A1E51" w14:textId="77777777" w:rsidR="006052A5" w:rsidRDefault="00000000">
      <w:pPr>
        <w:spacing w:before="200" w:after="120"/>
      </w:pPr>
      <w:r>
        <w:rPr>
          <w:b/>
          <w:bCs/>
          <w:color w:val="1F3864"/>
          <w:sz w:val="22"/>
          <w:szCs w:val="22"/>
        </w:rPr>
        <w:t>Program Component Evaluation — Item-Level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
        <w:gridCol w:w="4471"/>
        <w:gridCol w:w="1095"/>
        <w:gridCol w:w="1093"/>
        <w:gridCol w:w="1092"/>
        <w:gridCol w:w="1161"/>
      </w:tblGrid>
      <w:tr w:rsidR="006052A5" w14:paraId="4A1D7B1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179DC9A" w14:textId="77777777" w:rsidR="006052A5"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B10A4E3" w14:textId="77777777" w:rsidR="006052A5"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8926100" w14:textId="77777777" w:rsidR="006052A5"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29FF558" w14:textId="77777777" w:rsidR="006052A5"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D942195" w14:textId="77777777" w:rsidR="006052A5"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6D951A2" w14:textId="77777777" w:rsidR="006052A5" w:rsidRDefault="00000000">
            <w:pPr>
              <w:jc w:val="center"/>
            </w:pPr>
            <w:r>
              <w:rPr>
                <w:b/>
                <w:bCs/>
                <w:color w:val="FFFFFF"/>
                <w:sz w:val="18"/>
                <w:szCs w:val="18"/>
              </w:rPr>
              <w:t>% Acceptable</w:t>
            </w:r>
          </w:p>
        </w:tc>
      </w:tr>
      <w:tr w:rsidR="006052A5" w14:paraId="0766E70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08B10B" w14:textId="77777777" w:rsidR="006052A5" w:rsidRDefault="00000000">
            <w:pPr>
              <w:spacing w:before="20" w:after="20"/>
              <w:jc w:val="center"/>
            </w:pPr>
            <w:r>
              <w:rPr>
                <w:color w:val="404040"/>
                <w:sz w:val="18"/>
                <w:szCs w:val="18"/>
              </w:rPr>
              <w:t>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7CE4F7" w14:textId="77777777" w:rsidR="006052A5" w:rsidRDefault="00000000">
            <w:pPr>
              <w:spacing w:before="20" w:after="20"/>
            </w:pPr>
            <w:r>
              <w:rPr>
                <w:color w:val="404040"/>
                <w:sz w:val="18"/>
                <w:szCs w:val="18"/>
              </w:rPr>
              <w:t>Clinical Experience / Practicum 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6895C5" w14:textId="77777777" w:rsidR="006052A5" w:rsidRDefault="00000000">
            <w:pPr>
              <w:spacing w:before="20" w:after="20"/>
              <w:jc w:val="center"/>
            </w:pPr>
            <w:r>
              <w:rPr>
                <w:color w:val="404040"/>
                <w:sz w:val="18"/>
                <w:szCs w:val="18"/>
              </w:rPr>
              <w:t>3.76</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468FB1" w14:textId="77777777" w:rsidR="006052A5" w:rsidRDefault="00000000">
            <w:pPr>
              <w:spacing w:before="20" w:after="20"/>
              <w:jc w:val="center"/>
            </w:pPr>
            <w:r>
              <w:rPr>
                <w:color w:val="404040"/>
                <w:sz w:val="18"/>
                <w:szCs w:val="18"/>
              </w:rPr>
              <w:t>0.52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034D12"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B08839" w14:textId="77777777" w:rsidR="006052A5" w:rsidRDefault="00000000">
            <w:pPr>
              <w:spacing w:before="20" w:after="20"/>
              <w:jc w:val="center"/>
            </w:pPr>
            <w:r>
              <w:rPr>
                <w:color w:val="404040"/>
                <w:sz w:val="18"/>
                <w:szCs w:val="18"/>
              </w:rPr>
              <w:t>96%</w:t>
            </w:r>
          </w:p>
        </w:tc>
      </w:tr>
      <w:tr w:rsidR="006052A5" w14:paraId="52AE54D7"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1B89AE2" w14:textId="77777777" w:rsidR="006052A5" w:rsidRDefault="00000000">
            <w:pPr>
              <w:spacing w:before="20" w:after="20"/>
              <w:jc w:val="center"/>
            </w:pPr>
            <w:r>
              <w:rPr>
                <w:color w:val="404040"/>
                <w:sz w:val="18"/>
                <w:szCs w:val="18"/>
              </w:rPr>
              <w:t>2</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21A8632" w14:textId="77777777" w:rsidR="006052A5" w:rsidRDefault="00000000">
            <w:pPr>
              <w:spacing w:before="20" w:after="20"/>
            </w:pPr>
            <w:r>
              <w:rPr>
                <w:color w:val="404040"/>
                <w:sz w:val="18"/>
                <w:szCs w:val="18"/>
              </w:rPr>
              <w:t>Feedback provided by the cooperating teacher</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E9B31E8"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2D69A54" w14:textId="77777777" w:rsidR="006052A5" w:rsidRDefault="00000000">
            <w:pPr>
              <w:spacing w:before="20" w:after="20"/>
              <w:jc w:val="center"/>
            </w:pPr>
            <w:r>
              <w:rPr>
                <w:color w:val="404040"/>
                <w:sz w:val="18"/>
                <w:szCs w:val="18"/>
              </w:rPr>
              <w:t>0.50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DEB4489"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5B10233" w14:textId="77777777" w:rsidR="006052A5" w:rsidRDefault="00000000">
            <w:pPr>
              <w:spacing w:before="20" w:after="20"/>
              <w:jc w:val="center"/>
            </w:pPr>
            <w:r>
              <w:rPr>
                <w:color w:val="404040"/>
                <w:sz w:val="18"/>
                <w:szCs w:val="18"/>
              </w:rPr>
              <w:t>96%</w:t>
            </w:r>
          </w:p>
        </w:tc>
      </w:tr>
      <w:tr w:rsidR="006052A5" w14:paraId="0DE47DF9"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F98EAE" w14:textId="77777777" w:rsidR="006052A5" w:rsidRDefault="00000000">
            <w:pPr>
              <w:spacing w:before="20" w:after="20"/>
              <w:jc w:val="center"/>
            </w:pPr>
            <w:r>
              <w:rPr>
                <w:color w:val="404040"/>
                <w:sz w:val="18"/>
                <w:szCs w:val="18"/>
              </w:rPr>
              <w:t>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E36321" w14:textId="77777777" w:rsidR="006052A5" w:rsidRDefault="00000000">
            <w:pPr>
              <w:spacing w:before="20" w:after="20"/>
            </w:pPr>
            <w:r>
              <w:rPr>
                <w:color w:val="404040"/>
                <w:sz w:val="18"/>
                <w:szCs w:val="18"/>
              </w:rPr>
              <w:t>Feedback provided by university supervisor</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5ED27D" w14:textId="77777777" w:rsidR="006052A5" w:rsidRDefault="00000000">
            <w:pPr>
              <w:spacing w:before="20" w:after="20"/>
              <w:jc w:val="center"/>
            </w:pPr>
            <w:r>
              <w:rPr>
                <w:color w:val="404040"/>
                <w:sz w:val="18"/>
                <w:szCs w:val="18"/>
              </w:rPr>
              <w:t>3.72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BDD5A9" w14:textId="77777777" w:rsidR="006052A5" w:rsidRDefault="00000000">
            <w:pPr>
              <w:spacing w:before="20" w:after="20"/>
              <w:jc w:val="center"/>
            </w:pPr>
            <w:r>
              <w:rPr>
                <w:color w:val="404040"/>
                <w:sz w:val="18"/>
                <w:szCs w:val="18"/>
              </w:rPr>
              <w:t>0.46</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BA7C79"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46241F" w14:textId="77777777" w:rsidR="006052A5" w:rsidRDefault="00000000">
            <w:pPr>
              <w:spacing w:before="20" w:after="20"/>
              <w:jc w:val="center"/>
            </w:pPr>
            <w:r>
              <w:rPr>
                <w:color w:val="404040"/>
                <w:sz w:val="18"/>
                <w:szCs w:val="18"/>
              </w:rPr>
              <w:t>100%</w:t>
            </w:r>
          </w:p>
        </w:tc>
      </w:tr>
      <w:tr w:rsidR="006052A5" w14:paraId="1243128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1C18297" w14:textId="77777777" w:rsidR="006052A5" w:rsidRDefault="00000000">
            <w:pPr>
              <w:spacing w:before="20" w:after="20"/>
              <w:jc w:val="center"/>
            </w:pPr>
            <w:r>
              <w:rPr>
                <w:color w:val="404040"/>
                <w:sz w:val="18"/>
                <w:szCs w:val="18"/>
              </w:rPr>
              <w:t>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7BB991F" w14:textId="77777777" w:rsidR="006052A5" w:rsidRDefault="00000000">
            <w:pPr>
              <w:spacing w:before="20" w:after="20"/>
            </w:pPr>
            <w:r>
              <w:rPr>
                <w:color w:val="404040"/>
                <w:sz w:val="18"/>
                <w:szCs w:val="18"/>
              </w:rPr>
              <w:t>Counseling from TPP student official and personnel</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2EE11EF"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2329EDF" w14:textId="77777777" w:rsidR="006052A5" w:rsidRDefault="00000000">
            <w:pPr>
              <w:spacing w:before="20" w:after="20"/>
              <w:jc w:val="center"/>
            </w:pPr>
            <w:r>
              <w:rPr>
                <w:color w:val="404040"/>
                <w:sz w:val="18"/>
                <w:szCs w:val="18"/>
              </w:rPr>
              <w:t>0.41</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B058875"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E50F13A" w14:textId="77777777" w:rsidR="006052A5" w:rsidRDefault="00000000">
            <w:pPr>
              <w:spacing w:before="20" w:after="20"/>
              <w:jc w:val="center"/>
            </w:pPr>
            <w:r>
              <w:rPr>
                <w:color w:val="404040"/>
                <w:sz w:val="18"/>
                <w:szCs w:val="18"/>
              </w:rPr>
              <w:t>100%</w:t>
            </w:r>
          </w:p>
        </w:tc>
      </w:tr>
      <w:tr w:rsidR="006052A5" w14:paraId="36E9680E"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2A20A1" w14:textId="77777777" w:rsidR="006052A5" w:rsidRDefault="00000000">
            <w:pPr>
              <w:spacing w:before="20" w:after="20"/>
              <w:jc w:val="center"/>
            </w:pPr>
            <w:r>
              <w:rPr>
                <w:color w:val="404040"/>
                <w:sz w:val="18"/>
                <w:szCs w:val="18"/>
              </w:rPr>
              <w:t>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328FB1" w14:textId="77777777" w:rsidR="006052A5" w:rsidRDefault="00000000">
            <w:pPr>
              <w:spacing w:before="20" w:after="20"/>
            </w:pPr>
            <w:r>
              <w:rPr>
                <w:color w:val="404040"/>
                <w:sz w:val="18"/>
                <w:szCs w:val="18"/>
              </w:rPr>
              <w:t>Methodology courses / Practicum 1</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BF2C8D" w14:textId="77777777" w:rsidR="006052A5" w:rsidRDefault="00000000">
            <w:pPr>
              <w:spacing w:before="20" w:after="20"/>
              <w:jc w:val="center"/>
            </w:pPr>
            <w:r>
              <w:rPr>
                <w:color w:val="404040"/>
                <w:sz w:val="18"/>
                <w:szCs w:val="18"/>
              </w:rPr>
              <w:t>3.80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1D005A" w14:textId="77777777" w:rsidR="006052A5" w:rsidRDefault="00000000">
            <w:pPr>
              <w:spacing w:before="20" w:after="20"/>
              <w:jc w:val="center"/>
            </w:pPr>
            <w:r>
              <w:rPr>
                <w:color w:val="404040"/>
                <w:sz w:val="18"/>
                <w:szCs w:val="18"/>
              </w:rPr>
              <w:t>0.41</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A36273"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04A2E0" w14:textId="77777777" w:rsidR="006052A5" w:rsidRDefault="00000000">
            <w:pPr>
              <w:spacing w:before="20" w:after="20"/>
              <w:jc w:val="center"/>
            </w:pPr>
            <w:r>
              <w:rPr>
                <w:color w:val="404040"/>
                <w:sz w:val="18"/>
                <w:szCs w:val="18"/>
              </w:rPr>
              <w:t>100%</w:t>
            </w:r>
          </w:p>
        </w:tc>
      </w:tr>
      <w:tr w:rsidR="006052A5" w14:paraId="1967ED2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349C484" w14:textId="77777777" w:rsidR="006052A5" w:rsidRDefault="00000000">
            <w:pPr>
              <w:spacing w:before="20" w:after="20"/>
              <w:jc w:val="center"/>
            </w:pPr>
            <w:r>
              <w:rPr>
                <w:color w:val="404040"/>
                <w:sz w:val="18"/>
                <w:szCs w:val="18"/>
              </w:rPr>
              <w:lastRenderedPageBreak/>
              <w:t>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004D738" w14:textId="77777777" w:rsidR="006052A5" w:rsidRDefault="00000000">
            <w:pPr>
              <w:spacing w:before="20" w:after="20"/>
            </w:pPr>
            <w:r>
              <w:rPr>
                <w:color w:val="404040"/>
                <w:sz w:val="18"/>
                <w:szCs w:val="18"/>
              </w:rPr>
              <w:t>Education Foundation Courses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4C13BF6" w14:textId="77777777" w:rsidR="006052A5" w:rsidRDefault="00000000">
            <w:pPr>
              <w:spacing w:before="20" w:after="20"/>
              <w:jc w:val="center"/>
            </w:pPr>
            <w:r>
              <w:rPr>
                <w:color w:val="404040"/>
                <w:sz w:val="18"/>
                <w:szCs w:val="18"/>
              </w:rPr>
              <w:t>3.96</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426242F" w14:textId="77777777" w:rsidR="006052A5" w:rsidRDefault="00000000">
            <w:pPr>
              <w:spacing w:before="20" w:after="20"/>
              <w:jc w:val="center"/>
            </w:pPr>
            <w:r>
              <w:rPr>
                <w:color w:val="404040"/>
                <w:sz w:val="18"/>
                <w:szCs w:val="18"/>
              </w:rPr>
              <w:t>0.20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646F46C"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B1B8270" w14:textId="77777777" w:rsidR="006052A5" w:rsidRDefault="00000000">
            <w:pPr>
              <w:spacing w:before="20" w:after="20"/>
              <w:jc w:val="center"/>
            </w:pPr>
            <w:r>
              <w:rPr>
                <w:color w:val="404040"/>
                <w:sz w:val="18"/>
                <w:szCs w:val="18"/>
              </w:rPr>
              <w:t>100%</w:t>
            </w:r>
          </w:p>
        </w:tc>
      </w:tr>
      <w:tr w:rsidR="006052A5" w14:paraId="71AFA29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021C14" w14:textId="77777777" w:rsidR="006052A5" w:rsidRDefault="00000000">
            <w:pPr>
              <w:spacing w:before="20" w:after="20"/>
              <w:jc w:val="center"/>
            </w:pPr>
            <w:r>
              <w:rPr>
                <w:color w:val="404040"/>
                <w:sz w:val="18"/>
                <w:szCs w:val="18"/>
              </w:rPr>
              <w:t>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FC1178" w14:textId="77777777" w:rsidR="006052A5" w:rsidRDefault="00000000">
            <w:pPr>
              <w:spacing w:before="20" w:after="20"/>
            </w:pPr>
            <w:r>
              <w:rPr>
                <w:color w:val="404040"/>
                <w:sz w:val="18"/>
                <w:szCs w:val="18"/>
              </w:rPr>
              <w:t>Development of the Electronic Portfolio (E-Portfolio)</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36F924" w14:textId="77777777" w:rsidR="006052A5" w:rsidRDefault="00000000">
            <w:pPr>
              <w:spacing w:before="20" w:after="20"/>
              <w:jc w:val="center"/>
            </w:pPr>
            <w:r>
              <w:rPr>
                <w:color w:val="404040"/>
                <w:sz w:val="18"/>
                <w:szCs w:val="18"/>
              </w:rPr>
              <w:t>3.76</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00BE08" w14:textId="77777777" w:rsidR="006052A5" w:rsidRDefault="00000000">
            <w:pPr>
              <w:spacing w:before="20" w:after="20"/>
              <w:jc w:val="center"/>
            </w:pPr>
            <w:r>
              <w:rPr>
                <w:color w:val="404040"/>
                <w:sz w:val="18"/>
                <w:szCs w:val="18"/>
              </w:rPr>
              <w:t>0.52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871E96"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AD26A0" w14:textId="77777777" w:rsidR="006052A5" w:rsidRDefault="00000000">
            <w:pPr>
              <w:spacing w:before="20" w:after="20"/>
              <w:jc w:val="center"/>
            </w:pPr>
            <w:r>
              <w:rPr>
                <w:color w:val="404040"/>
                <w:sz w:val="18"/>
                <w:szCs w:val="18"/>
              </w:rPr>
              <w:t>96%</w:t>
            </w:r>
          </w:p>
        </w:tc>
      </w:tr>
      <w:tr w:rsidR="006052A5" w14:paraId="49F1EE6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9FC515D" w14:textId="77777777" w:rsidR="006052A5" w:rsidRDefault="00000000">
            <w:pPr>
              <w:spacing w:before="20" w:after="20"/>
              <w:jc w:val="center"/>
            </w:pPr>
            <w:r>
              <w:rPr>
                <w:color w:val="404040"/>
                <w:sz w:val="18"/>
                <w:szCs w:val="18"/>
              </w:rPr>
              <w:t>8</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FCA61EE" w14:textId="77777777" w:rsidR="006052A5" w:rsidRDefault="00000000">
            <w:pPr>
              <w:spacing w:before="20" w:after="20"/>
            </w:pPr>
            <w:r>
              <w:rPr>
                <w:color w:val="404040"/>
                <w:sz w:val="18"/>
                <w:szCs w:val="18"/>
              </w:rPr>
              <w:t>Content and specialty courses from other faculties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21BDF1E" w14:textId="77777777" w:rsidR="006052A5" w:rsidRDefault="00000000">
            <w:pPr>
              <w:spacing w:before="20" w:after="20"/>
              <w:jc w:val="center"/>
            </w:pPr>
            <w:r>
              <w:rPr>
                <w:color w:val="404040"/>
                <w:sz w:val="18"/>
                <w:szCs w:val="18"/>
              </w:rPr>
              <w:t>3.88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24B852D" w14:textId="77777777" w:rsidR="006052A5" w:rsidRDefault="00000000">
            <w:pPr>
              <w:spacing w:before="20" w:after="20"/>
              <w:jc w:val="center"/>
            </w:pPr>
            <w:r>
              <w:rPr>
                <w:color w:val="404040"/>
                <w:sz w:val="18"/>
                <w:szCs w:val="18"/>
              </w:rPr>
              <w:t>0.33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640CBD1" w14:textId="77777777" w:rsidR="006052A5" w:rsidRDefault="00000000">
            <w:pPr>
              <w:spacing w:before="20" w:after="20"/>
              <w:jc w:val="center"/>
            </w:pPr>
            <w:r>
              <w:rPr>
                <w:color w:val="404040"/>
                <w:sz w:val="18"/>
                <w:szCs w:val="18"/>
              </w:rPr>
              <w:t>25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ED7DACE" w14:textId="77777777" w:rsidR="006052A5" w:rsidRDefault="00000000">
            <w:pPr>
              <w:spacing w:before="20" w:after="20"/>
              <w:jc w:val="center"/>
            </w:pPr>
            <w:r>
              <w:rPr>
                <w:color w:val="404040"/>
                <w:sz w:val="18"/>
                <w:szCs w:val="18"/>
              </w:rPr>
              <w:t>100%</w:t>
            </w:r>
          </w:p>
        </w:tc>
      </w:tr>
    </w:tbl>
    <w:p w14:paraId="61547A0D" w14:textId="77777777" w:rsidR="006052A5" w:rsidRDefault="006052A5">
      <w:pPr>
        <w:spacing w:before="40" w:after="40"/>
      </w:pPr>
    </w:p>
    <w:p w14:paraId="00DB363E" w14:textId="77777777" w:rsidR="006052A5" w:rsidRDefault="00000000">
      <w:pPr>
        <w:spacing w:before="80" w:after="80" w:line="276" w:lineRule="auto"/>
      </w:pPr>
      <w:r>
        <w:rPr>
          <w:color w:val="404040"/>
        </w:rPr>
        <w:t>Education Foundation Courses received the highest rating (M = 3.96). The E-Portfolio experience and Clinical Experience / Practicum 2 (both M = 3.76) and cooperating teacher feedback (M = 3.80, 96% acceptable) suggest opportunities for improving clinical placement coordination and feedback consistency.</w:t>
      </w:r>
    </w:p>
    <w:p w14:paraId="74BCA31D" w14:textId="77777777" w:rsidR="006052A5" w:rsidRDefault="00000000">
      <w:r>
        <w:br w:type="page"/>
      </w:r>
    </w:p>
    <w:p w14:paraId="03CA9164" w14:textId="77777777" w:rsidR="006052A5" w:rsidRDefault="00000000">
      <w:pPr>
        <w:pStyle w:val="Heading1"/>
      </w:pPr>
      <w:r>
        <w:lastRenderedPageBreak/>
        <w:t>4. Additional Survey Results</w:t>
      </w:r>
    </w:p>
    <w:p w14:paraId="0D385FF4" w14:textId="77777777" w:rsidR="006052A5" w:rsidRDefault="00000000">
      <w:pPr>
        <w:pStyle w:val="Heading2"/>
      </w:pPr>
      <w:r>
        <w:t>4.1 Professional Development Self-Assessment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0"/>
        <w:gridCol w:w="2300"/>
      </w:tblGrid>
      <w:tr w:rsidR="006052A5" w14:paraId="51172424"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6C5D713" w14:textId="77777777" w:rsidR="006052A5" w:rsidRDefault="00000000">
            <w:pPr>
              <w:jc w:val="center"/>
            </w:pPr>
            <w:r>
              <w:rPr>
                <w:b/>
                <w:bCs/>
                <w:color w:val="FFFFFF"/>
                <w:sz w:val="18"/>
                <w:szCs w:val="18"/>
              </w:rPr>
              <w:t>P</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ED8E006" w14:textId="77777777" w:rsidR="006052A5" w:rsidRDefault="00000000">
            <w:pPr>
              <w:jc w:val="center"/>
            </w:pPr>
            <w:r>
              <w:rPr>
                <w:b/>
                <w:bCs/>
                <w:color w:val="FFFFFF"/>
                <w:sz w:val="18"/>
                <w:szCs w:val="18"/>
              </w:rPr>
              <w:t>e</w:t>
            </w:r>
          </w:p>
        </w:tc>
      </w:tr>
      <w:tr w:rsidR="006052A5" w14:paraId="5228FED9"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D24A5F" w14:textId="77777777" w:rsidR="006052A5" w:rsidRDefault="00000000">
            <w:pPr>
              <w:spacing w:before="20" w:after="20"/>
            </w:pPr>
            <w:r>
              <w:rPr>
                <w:color w:val="404040"/>
                <w:sz w:val="18"/>
                <w:szCs w:val="18"/>
              </w:rPr>
              <w:t>Highly prepared</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7C21C9" w14:textId="77777777" w:rsidR="006052A5" w:rsidRDefault="00000000">
            <w:pPr>
              <w:spacing w:before="20" w:after="20"/>
              <w:jc w:val="center"/>
            </w:pPr>
            <w:r>
              <w:rPr>
                <w:color w:val="404040"/>
                <w:sz w:val="18"/>
                <w:szCs w:val="18"/>
              </w:rPr>
              <w:t>21 (84%)</w:t>
            </w:r>
          </w:p>
        </w:tc>
      </w:tr>
      <w:tr w:rsidR="006052A5" w14:paraId="7127813A"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9C5BB14" w14:textId="77777777" w:rsidR="006052A5" w:rsidRDefault="00000000">
            <w:pPr>
              <w:spacing w:before="20" w:after="20"/>
            </w:pPr>
            <w:r>
              <w:rPr>
                <w:color w:val="404040"/>
                <w:sz w:val="18"/>
                <w:szCs w:val="18"/>
              </w:rPr>
              <w:t>Moderately prepared</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1A6A57E" w14:textId="77777777" w:rsidR="006052A5" w:rsidRDefault="00000000">
            <w:pPr>
              <w:spacing w:before="20" w:after="20"/>
              <w:jc w:val="center"/>
            </w:pPr>
            <w:r>
              <w:rPr>
                <w:color w:val="404040"/>
                <w:sz w:val="18"/>
                <w:szCs w:val="18"/>
              </w:rPr>
              <w:t>4 (16%)</w:t>
            </w:r>
          </w:p>
        </w:tc>
      </w:tr>
    </w:tbl>
    <w:p w14:paraId="13957F97" w14:textId="77777777" w:rsidR="006052A5" w:rsidRDefault="006052A5">
      <w:pPr>
        <w:spacing w:before="40" w:after="40"/>
      </w:pPr>
    </w:p>
    <w:p w14:paraId="694C89E9" w14:textId="77777777" w:rsidR="006052A5" w:rsidRDefault="00000000">
      <w:pPr>
        <w:spacing w:before="80" w:after="80" w:line="276" w:lineRule="auto"/>
      </w:pPr>
      <w:r>
        <w:rPr>
          <w:color w:val="404040"/>
        </w:rPr>
        <w:t>The vast majority (84%) of completers rated themselves as highly prepared to make a significant change in student learning. No completer reported feeling unprepared.</w:t>
      </w:r>
    </w:p>
    <w:p w14:paraId="3853A97B" w14:textId="77777777" w:rsidR="006052A5" w:rsidRDefault="00000000">
      <w:pPr>
        <w:pStyle w:val="Heading2"/>
      </w:pPr>
      <w:r>
        <w:t>4.2 Overall Program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0"/>
        <w:gridCol w:w="2300"/>
      </w:tblGrid>
      <w:tr w:rsidR="006052A5" w14:paraId="54B5919A"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C99947E" w14:textId="77777777" w:rsidR="006052A5" w:rsidRDefault="00000000">
            <w:pPr>
              <w:jc w:val="center"/>
            </w:pPr>
            <w:r>
              <w:rPr>
                <w:b/>
                <w:bCs/>
                <w:color w:val="FFFFFF"/>
                <w:sz w:val="18"/>
                <w:szCs w:val="18"/>
              </w:rPr>
              <w:t>P</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AE2AA8C" w14:textId="77777777" w:rsidR="006052A5" w:rsidRDefault="00000000">
            <w:pPr>
              <w:jc w:val="center"/>
            </w:pPr>
            <w:r>
              <w:rPr>
                <w:b/>
                <w:bCs/>
                <w:color w:val="FFFFFF"/>
                <w:sz w:val="18"/>
                <w:szCs w:val="18"/>
              </w:rPr>
              <w:t>r</w:t>
            </w:r>
          </w:p>
        </w:tc>
      </w:tr>
      <w:tr w:rsidR="006052A5" w14:paraId="14B8B750"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9FAB7E" w14:textId="77777777" w:rsidR="006052A5" w:rsidRDefault="00000000">
            <w:pPr>
              <w:spacing w:before="20" w:after="20"/>
            </w:pPr>
            <w:r>
              <w:rPr>
                <w:color w:val="404040"/>
                <w:sz w:val="18"/>
                <w:szCs w:val="18"/>
              </w:rPr>
              <w:t>Excellent</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82E5DB" w14:textId="77777777" w:rsidR="006052A5" w:rsidRDefault="00000000">
            <w:pPr>
              <w:spacing w:before="20" w:after="20"/>
              <w:jc w:val="center"/>
            </w:pPr>
            <w:r>
              <w:rPr>
                <w:color w:val="404040"/>
                <w:sz w:val="18"/>
                <w:szCs w:val="18"/>
              </w:rPr>
              <w:t>24 (96%)</w:t>
            </w:r>
          </w:p>
        </w:tc>
      </w:tr>
      <w:tr w:rsidR="006052A5" w14:paraId="397C2539"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D5D26BF" w14:textId="77777777" w:rsidR="006052A5" w:rsidRDefault="00000000">
            <w:pPr>
              <w:spacing w:before="20" w:after="20"/>
            </w:pPr>
            <w:r>
              <w:rPr>
                <w:color w:val="404040"/>
                <w:sz w:val="18"/>
                <w:szCs w:val="18"/>
              </w:rPr>
              <w:t>Good</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9A42715" w14:textId="77777777" w:rsidR="006052A5" w:rsidRDefault="00000000">
            <w:pPr>
              <w:spacing w:before="20" w:after="20"/>
              <w:jc w:val="center"/>
            </w:pPr>
            <w:r>
              <w:rPr>
                <w:color w:val="404040"/>
                <w:sz w:val="18"/>
                <w:szCs w:val="18"/>
              </w:rPr>
              <w:t>1 (4%)</w:t>
            </w:r>
          </w:p>
        </w:tc>
      </w:tr>
    </w:tbl>
    <w:p w14:paraId="6AACD851" w14:textId="77777777" w:rsidR="006052A5" w:rsidRDefault="006052A5">
      <w:pPr>
        <w:spacing w:before="40" w:after="40"/>
      </w:pPr>
    </w:p>
    <w:p w14:paraId="03F388C0" w14:textId="77777777" w:rsidR="006052A5" w:rsidRDefault="00000000">
      <w:pPr>
        <w:pStyle w:val="Heading2"/>
      </w:pPr>
      <w:r>
        <w:t>4.3 Program Recommendation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0"/>
        <w:gridCol w:w="2300"/>
      </w:tblGrid>
      <w:tr w:rsidR="006052A5" w14:paraId="4E191AA6"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0D1E1C0" w14:textId="77777777" w:rsidR="006052A5" w:rsidRDefault="00000000">
            <w:pPr>
              <w:jc w:val="center"/>
            </w:pPr>
            <w:r>
              <w:rPr>
                <w:b/>
                <w:bCs/>
                <w:color w:val="FFFFFF"/>
                <w:sz w:val="18"/>
                <w:szCs w:val="18"/>
              </w:rPr>
              <w:t>W</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ECE5ED5" w14:textId="77777777" w:rsidR="006052A5" w:rsidRDefault="00000000">
            <w:pPr>
              <w:jc w:val="center"/>
            </w:pPr>
            <w:r>
              <w:rPr>
                <w:b/>
                <w:bCs/>
                <w:color w:val="FFFFFF"/>
                <w:sz w:val="18"/>
                <w:szCs w:val="18"/>
              </w:rPr>
              <w:t>o</w:t>
            </w:r>
          </w:p>
        </w:tc>
      </w:tr>
      <w:tr w:rsidR="006052A5" w14:paraId="7B47E40B"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202327" w14:textId="77777777" w:rsidR="006052A5" w:rsidRDefault="00000000">
            <w:pPr>
              <w:spacing w:before="20" w:after="20"/>
            </w:pPr>
            <w:r>
              <w:rPr>
                <w:color w:val="404040"/>
                <w:sz w:val="18"/>
                <w:szCs w:val="18"/>
              </w:rPr>
              <w:t>Definitely, Yes</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F168A2" w14:textId="77777777" w:rsidR="006052A5" w:rsidRDefault="00000000">
            <w:pPr>
              <w:spacing w:before="20" w:after="20"/>
              <w:jc w:val="center"/>
            </w:pPr>
            <w:r>
              <w:rPr>
                <w:color w:val="404040"/>
                <w:sz w:val="18"/>
                <w:szCs w:val="18"/>
              </w:rPr>
              <w:t>24 (96%)</w:t>
            </w:r>
          </w:p>
        </w:tc>
      </w:tr>
      <w:tr w:rsidR="006052A5" w14:paraId="35C6A27D"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00467FE" w14:textId="77777777" w:rsidR="006052A5" w:rsidRDefault="00000000">
            <w:pPr>
              <w:spacing w:before="20" w:after="20"/>
            </w:pPr>
            <w:r>
              <w:rPr>
                <w:color w:val="404040"/>
                <w:sz w:val="18"/>
                <w:szCs w:val="18"/>
              </w:rPr>
              <w:t>Probably, Yes</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41647A1" w14:textId="77777777" w:rsidR="006052A5" w:rsidRDefault="00000000">
            <w:pPr>
              <w:spacing w:before="20" w:after="20"/>
              <w:jc w:val="center"/>
            </w:pPr>
            <w:r>
              <w:rPr>
                <w:color w:val="404040"/>
                <w:sz w:val="18"/>
                <w:szCs w:val="18"/>
              </w:rPr>
              <w:t>1 (4%)</w:t>
            </w:r>
          </w:p>
        </w:tc>
      </w:tr>
    </w:tbl>
    <w:p w14:paraId="20545554" w14:textId="77777777" w:rsidR="006052A5" w:rsidRDefault="006052A5">
      <w:pPr>
        <w:spacing w:before="40" w:after="40"/>
      </w:pPr>
    </w:p>
    <w:p w14:paraId="5E5A28AB" w14:textId="77777777" w:rsidR="006052A5" w:rsidRDefault="00000000">
      <w:pPr>
        <w:spacing w:before="80" w:after="80" w:line="276" w:lineRule="auto"/>
      </w:pPr>
      <w:r>
        <w:rPr>
          <w:color w:val="404040"/>
        </w:rPr>
        <w:t>A total of 96% of completers would definitely recommend the program, with the remaining 4% indicating they would probably recommend it. No completer indicated a negative response.</w:t>
      </w:r>
    </w:p>
    <w:p w14:paraId="43D707F4" w14:textId="77777777" w:rsidR="006052A5" w:rsidRDefault="00000000">
      <w:pPr>
        <w:pStyle w:val="Heading2"/>
      </w:pPr>
      <w:r>
        <w:t>4.4 Career Plans</w:t>
      </w:r>
    </w:p>
    <w:p w14:paraId="2B5901B2" w14:textId="77777777" w:rsidR="006052A5" w:rsidRDefault="00000000">
      <w:pPr>
        <w:spacing w:before="200" w:after="120"/>
      </w:pPr>
      <w:r>
        <w:rPr>
          <w:b/>
          <w:bCs/>
          <w:color w:val="1F3864"/>
          <w:sz w:val="22"/>
          <w:szCs w:val="22"/>
        </w:rPr>
        <w:t>Intended Teaching Tenure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0"/>
        <w:gridCol w:w="2300"/>
      </w:tblGrid>
      <w:tr w:rsidR="006052A5" w14:paraId="60AA300D"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0A2CC47" w14:textId="77777777" w:rsidR="006052A5" w:rsidRDefault="00000000">
            <w:pPr>
              <w:jc w:val="center"/>
            </w:pPr>
            <w:r>
              <w:rPr>
                <w:b/>
                <w:bCs/>
                <w:color w:val="FFFFFF"/>
                <w:sz w:val="18"/>
                <w:szCs w:val="18"/>
              </w:rPr>
              <w:t>Y</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08385A0" w14:textId="77777777" w:rsidR="006052A5" w:rsidRDefault="00000000">
            <w:pPr>
              <w:jc w:val="center"/>
            </w:pPr>
            <w:r>
              <w:rPr>
                <w:b/>
                <w:bCs/>
                <w:color w:val="FFFFFF"/>
                <w:sz w:val="18"/>
                <w:szCs w:val="18"/>
              </w:rPr>
              <w:t>e</w:t>
            </w:r>
          </w:p>
        </w:tc>
      </w:tr>
      <w:tr w:rsidR="006052A5" w14:paraId="1A144A83"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025642" w14:textId="77777777" w:rsidR="006052A5" w:rsidRDefault="00000000">
            <w:pPr>
              <w:spacing w:before="20" w:after="20"/>
            </w:pPr>
            <w:r>
              <w:rPr>
                <w:color w:val="404040"/>
                <w:sz w:val="18"/>
                <w:szCs w:val="18"/>
              </w:rPr>
              <w:t>21 years or more</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B425A1" w14:textId="77777777" w:rsidR="006052A5" w:rsidRDefault="00000000">
            <w:pPr>
              <w:spacing w:before="20" w:after="20"/>
              <w:jc w:val="center"/>
            </w:pPr>
            <w:r>
              <w:rPr>
                <w:color w:val="404040"/>
                <w:sz w:val="18"/>
                <w:szCs w:val="18"/>
              </w:rPr>
              <w:t>9 (36%)</w:t>
            </w:r>
          </w:p>
        </w:tc>
      </w:tr>
      <w:tr w:rsidR="006052A5" w14:paraId="0FD0F795"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77B3FD6" w14:textId="77777777" w:rsidR="006052A5" w:rsidRDefault="00000000">
            <w:pPr>
              <w:spacing w:before="20" w:after="20"/>
            </w:pPr>
            <w:r>
              <w:rPr>
                <w:color w:val="404040"/>
                <w:sz w:val="18"/>
                <w:szCs w:val="18"/>
              </w:rPr>
              <w:t>16–20 years</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E4CB537" w14:textId="77777777" w:rsidR="006052A5" w:rsidRDefault="00000000">
            <w:pPr>
              <w:spacing w:before="20" w:after="20"/>
              <w:jc w:val="center"/>
            </w:pPr>
            <w:r>
              <w:rPr>
                <w:color w:val="404040"/>
                <w:sz w:val="18"/>
                <w:szCs w:val="18"/>
              </w:rPr>
              <w:t>3 (12%)</w:t>
            </w:r>
          </w:p>
        </w:tc>
      </w:tr>
      <w:tr w:rsidR="006052A5" w14:paraId="1CBD57E3"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B6BCE9" w14:textId="77777777" w:rsidR="006052A5" w:rsidRDefault="00000000">
            <w:pPr>
              <w:spacing w:before="20" w:after="20"/>
            </w:pPr>
            <w:r>
              <w:rPr>
                <w:color w:val="404040"/>
                <w:sz w:val="18"/>
                <w:szCs w:val="18"/>
              </w:rPr>
              <w:t>11–15 years</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7A0FD0" w14:textId="77777777" w:rsidR="006052A5" w:rsidRDefault="00000000">
            <w:pPr>
              <w:spacing w:before="20" w:after="20"/>
              <w:jc w:val="center"/>
            </w:pPr>
            <w:r>
              <w:rPr>
                <w:color w:val="404040"/>
                <w:sz w:val="18"/>
                <w:szCs w:val="18"/>
              </w:rPr>
              <w:t>4 (16%)</w:t>
            </w:r>
          </w:p>
        </w:tc>
      </w:tr>
      <w:tr w:rsidR="006052A5" w14:paraId="6576159C"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6E15138" w14:textId="77777777" w:rsidR="006052A5" w:rsidRDefault="00000000">
            <w:pPr>
              <w:spacing w:before="20" w:after="20"/>
            </w:pPr>
            <w:r>
              <w:rPr>
                <w:color w:val="404040"/>
                <w:sz w:val="18"/>
                <w:szCs w:val="18"/>
              </w:rPr>
              <w:t>6–10 years</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CF59C33" w14:textId="77777777" w:rsidR="006052A5" w:rsidRDefault="00000000">
            <w:pPr>
              <w:spacing w:before="20" w:after="20"/>
              <w:jc w:val="center"/>
            </w:pPr>
            <w:r>
              <w:rPr>
                <w:color w:val="404040"/>
                <w:sz w:val="18"/>
                <w:szCs w:val="18"/>
              </w:rPr>
              <w:t>4 (16%)</w:t>
            </w:r>
          </w:p>
        </w:tc>
      </w:tr>
      <w:tr w:rsidR="006052A5" w14:paraId="647CB745"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27EDA4" w14:textId="77777777" w:rsidR="006052A5" w:rsidRDefault="00000000">
            <w:pPr>
              <w:spacing w:before="20" w:after="20"/>
            </w:pPr>
            <w:r>
              <w:rPr>
                <w:color w:val="404040"/>
                <w:sz w:val="18"/>
                <w:szCs w:val="18"/>
              </w:rPr>
              <w:t>1–5 years</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D4A2F7" w14:textId="77777777" w:rsidR="006052A5" w:rsidRDefault="00000000">
            <w:pPr>
              <w:spacing w:before="20" w:after="20"/>
              <w:jc w:val="center"/>
            </w:pPr>
            <w:r>
              <w:rPr>
                <w:color w:val="404040"/>
                <w:sz w:val="18"/>
                <w:szCs w:val="18"/>
              </w:rPr>
              <w:t>5 (20%)</w:t>
            </w:r>
          </w:p>
        </w:tc>
      </w:tr>
    </w:tbl>
    <w:p w14:paraId="1F8FAE3B" w14:textId="77777777" w:rsidR="006052A5" w:rsidRDefault="006052A5">
      <w:pPr>
        <w:spacing w:before="40" w:after="40"/>
      </w:pPr>
    </w:p>
    <w:p w14:paraId="661BD0F1" w14:textId="77777777" w:rsidR="006052A5" w:rsidRDefault="00000000">
      <w:pPr>
        <w:spacing w:before="80" w:after="80" w:line="276" w:lineRule="auto"/>
      </w:pPr>
      <w:r>
        <w:rPr>
          <w:color w:val="404040"/>
        </w:rPr>
        <w:t>A majority of completers (64%) plan to teach for 11 or more years, indicating a strong commitment to the teaching profession. Only 20% indicated plans of 5 years or fewer, with some noting interest in pursuing other professional areas alongside teaching.</w:t>
      </w:r>
    </w:p>
    <w:p w14:paraId="3CE4D616" w14:textId="77777777" w:rsidR="002D4881" w:rsidRDefault="002D4881">
      <w:pPr>
        <w:spacing w:before="200" w:after="120"/>
        <w:rPr>
          <w:b/>
          <w:bCs/>
          <w:color w:val="1F3864"/>
          <w:sz w:val="22"/>
          <w:szCs w:val="22"/>
        </w:rPr>
      </w:pPr>
    </w:p>
    <w:p w14:paraId="542BA0A4" w14:textId="2FB48F29" w:rsidR="006052A5" w:rsidRDefault="00000000">
      <w:pPr>
        <w:spacing w:before="200" w:after="120"/>
      </w:pPr>
      <w:r>
        <w:rPr>
          <w:b/>
          <w:bCs/>
          <w:color w:val="1F3864"/>
          <w:sz w:val="22"/>
          <w:szCs w:val="22"/>
        </w:rPr>
        <w:lastRenderedPageBreak/>
        <w:t>Future Study Plans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0"/>
        <w:gridCol w:w="2300"/>
      </w:tblGrid>
      <w:tr w:rsidR="006052A5" w14:paraId="1BAE94E3"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8BE8D6B" w14:textId="77777777" w:rsidR="006052A5" w:rsidRDefault="00000000">
            <w:pPr>
              <w:jc w:val="center"/>
            </w:pPr>
            <w:r>
              <w:rPr>
                <w:b/>
                <w:bCs/>
                <w:color w:val="FFFFFF"/>
                <w:sz w:val="18"/>
                <w:szCs w:val="18"/>
              </w:rPr>
              <w:t>S</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144138B" w14:textId="77777777" w:rsidR="006052A5" w:rsidRDefault="00000000">
            <w:pPr>
              <w:jc w:val="center"/>
            </w:pPr>
            <w:r>
              <w:rPr>
                <w:b/>
                <w:bCs/>
                <w:color w:val="FFFFFF"/>
                <w:sz w:val="18"/>
                <w:szCs w:val="18"/>
              </w:rPr>
              <w:t>t</w:t>
            </w:r>
          </w:p>
        </w:tc>
      </w:tr>
      <w:tr w:rsidR="006052A5" w14:paraId="4F597510"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9296B1" w14:textId="77777777" w:rsidR="006052A5" w:rsidRDefault="00000000">
            <w:pPr>
              <w:spacing w:before="20" w:after="20"/>
            </w:pPr>
            <w:r>
              <w:rPr>
                <w:color w:val="404040"/>
                <w:sz w:val="18"/>
                <w:szCs w:val="18"/>
              </w:rPr>
              <w:t>Master’s Degree</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ABD00D" w14:textId="77777777" w:rsidR="006052A5" w:rsidRDefault="00000000">
            <w:pPr>
              <w:spacing w:before="20" w:after="20"/>
              <w:jc w:val="center"/>
            </w:pPr>
            <w:r>
              <w:rPr>
                <w:color w:val="404040"/>
                <w:sz w:val="18"/>
                <w:szCs w:val="18"/>
              </w:rPr>
              <w:t>12 (48%)</w:t>
            </w:r>
          </w:p>
        </w:tc>
      </w:tr>
      <w:tr w:rsidR="006052A5" w14:paraId="7466FCB7"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5ECC7B2" w14:textId="77777777" w:rsidR="006052A5" w:rsidRDefault="00000000">
            <w:pPr>
              <w:spacing w:before="20" w:after="20"/>
            </w:pPr>
            <w:r>
              <w:rPr>
                <w:color w:val="404040"/>
                <w:sz w:val="18"/>
                <w:szCs w:val="18"/>
              </w:rPr>
              <w:t>Doctorate</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7B5CC2F" w14:textId="77777777" w:rsidR="006052A5" w:rsidRDefault="00000000">
            <w:pPr>
              <w:spacing w:before="20" w:after="20"/>
              <w:jc w:val="center"/>
            </w:pPr>
            <w:r>
              <w:rPr>
                <w:color w:val="404040"/>
                <w:sz w:val="18"/>
                <w:szCs w:val="18"/>
              </w:rPr>
              <w:t>6 (24%)</w:t>
            </w:r>
          </w:p>
        </w:tc>
      </w:tr>
      <w:tr w:rsidR="006052A5" w14:paraId="151384D2"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F9E9EC" w14:textId="77777777" w:rsidR="006052A5" w:rsidRDefault="00000000">
            <w:pPr>
              <w:spacing w:before="20" w:after="20"/>
            </w:pPr>
            <w:r>
              <w:rPr>
                <w:color w:val="404040"/>
                <w:sz w:val="18"/>
                <w:szCs w:val="18"/>
              </w:rPr>
              <w:t>Second Bachelor’s Degree</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8FDCB9" w14:textId="77777777" w:rsidR="006052A5" w:rsidRDefault="00000000">
            <w:pPr>
              <w:spacing w:before="20" w:after="20"/>
              <w:jc w:val="center"/>
            </w:pPr>
            <w:r>
              <w:rPr>
                <w:color w:val="404040"/>
                <w:sz w:val="18"/>
                <w:szCs w:val="18"/>
              </w:rPr>
              <w:t>3 (12%)</w:t>
            </w:r>
          </w:p>
        </w:tc>
      </w:tr>
      <w:tr w:rsidR="006052A5" w14:paraId="3FA83673"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8DB1713" w14:textId="77777777" w:rsidR="006052A5" w:rsidRDefault="00000000">
            <w:pPr>
              <w:spacing w:before="20" w:after="20"/>
            </w:pPr>
            <w:r>
              <w:rPr>
                <w:color w:val="404040"/>
                <w:sz w:val="18"/>
                <w:szCs w:val="18"/>
              </w:rPr>
              <w:t>No immediate plans</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81102E0" w14:textId="77777777" w:rsidR="006052A5" w:rsidRDefault="00000000">
            <w:pPr>
              <w:spacing w:before="20" w:after="20"/>
              <w:jc w:val="center"/>
            </w:pPr>
            <w:r>
              <w:rPr>
                <w:color w:val="404040"/>
                <w:sz w:val="18"/>
                <w:szCs w:val="18"/>
              </w:rPr>
              <w:t>4 (16%)</w:t>
            </w:r>
          </w:p>
        </w:tc>
      </w:tr>
    </w:tbl>
    <w:p w14:paraId="333DA2FC" w14:textId="77777777" w:rsidR="006052A5" w:rsidRDefault="006052A5">
      <w:pPr>
        <w:spacing w:before="40" w:after="40"/>
      </w:pPr>
    </w:p>
    <w:p w14:paraId="5EA262C7" w14:textId="77777777" w:rsidR="006052A5" w:rsidRDefault="00000000">
      <w:pPr>
        <w:spacing w:before="80" w:after="80" w:line="276" w:lineRule="auto"/>
      </w:pPr>
      <w:r>
        <w:rPr>
          <w:color w:val="404040"/>
        </w:rPr>
        <w:t>A total of 84% of completers plan to pursue additional degrees, with nearly half intending to pursue a Master’s degree. This reflects strong academic aspirations among program completers.</w:t>
      </w:r>
    </w:p>
    <w:p w14:paraId="16B46634" w14:textId="77777777" w:rsidR="006052A5" w:rsidRDefault="00000000">
      <w:pPr>
        <w:spacing w:before="200" w:after="120"/>
      </w:pPr>
      <w:r>
        <w:rPr>
          <w:b/>
          <w:bCs/>
          <w:color w:val="1F3864"/>
          <w:sz w:val="22"/>
          <w:szCs w:val="22"/>
        </w:rPr>
        <w:t>Employment Status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0"/>
        <w:gridCol w:w="2300"/>
      </w:tblGrid>
      <w:tr w:rsidR="006052A5" w14:paraId="0819410D"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1C1A0AD" w14:textId="77777777" w:rsidR="006052A5" w:rsidRDefault="00000000">
            <w:pPr>
              <w:jc w:val="center"/>
            </w:pPr>
            <w:r>
              <w:rPr>
                <w:b/>
                <w:bCs/>
                <w:color w:val="FFFFFF"/>
                <w:sz w:val="18"/>
                <w:szCs w:val="18"/>
              </w:rPr>
              <w:t>E</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C3DC0C7" w14:textId="77777777" w:rsidR="006052A5" w:rsidRDefault="00000000">
            <w:pPr>
              <w:jc w:val="center"/>
            </w:pPr>
            <w:r>
              <w:rPr>
                <w:b/>
                <w:bCs/>
                <w:color w:val="FFFFFF"/>
                <w:sz w:val="18"/>
                <w:szCs w:val="18"/>
              </w:rPr>
              <w:t>m</w:t>
            </w:r>
          </w:p>
        </w:tc>
      </w:tr>
      <w:tr w:rsidR="006052A5" w14:paraId="2AC4C3AD"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E15063" w14:textId="77777777" w:rsidR="006052A5" w:rsidRDefault="00000000">
            <w:pPr>
              <w:spacing w:before="20" w:after="20"/>
            </w:pPr>
            <w:r>
              <w:rPr>
                <w:color w:val="404040"/>
                <w:sz w:val="18"/>
                <w:szCs w:val="18"/>
              </w:rPr>
              <w:t>Still looking for employment opportunities</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D5B671" w14:textId="77777777" w:rsidR="006052A5" w:rsidRDefault="00000000">
            <w:pPr>
              <w:spacing w:before="20" w:after="20"/>
              <w:jc w:val="center"/>
            </w:pPr>
            <w:r>
              <w:rPr>
                <w:color w:val="404040"/>
                <w:sz w:val="18"/>
                <w:szCs w:val="18"/>
              </w:rPr>
              <w:t>13 (52%)</w:t>
            </w:r>
          </w:p>
        </w:tc>
      </w:tr>
      <w:tr w:rsidR="006052A5" w14:paraId="70389EC0"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9938748" w14:textId="77777777" w:rsidR="006052A5" w:rsidRDefault="00000000">
            <w:pPr>
              <w:spacing w:before="20" w:after="20"/>
            </w:pPr>
            <w:r>
              <w:rPr>
                <w:color w:val="404040"/>
                <w:sz w:val="18"/>
                <w:szCs w:val="18"/>
              </w:rPr>
              <w:t>Accepted full-time employment in area of study</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BB9C148" w14:textId="77777777" w:rsidR="006052A5" w:rsidRDefault="00000000">
            <w:pPr>
              <w:spacing w:before="20" w:after="20"/>
              <w:jc w:val="center"/>
            </w:pPr>
            <w:r>
              <w:rPr>
                <w:color w:val="404040"/>
                <w:sz w:val="18"/>
                <w:szCs w:val="18"/>
              </w:rPr>
              <w:t>4 (16%)</w:t>
            </w:r>
          </w:p>
        </w:tc>
      </w:tr>
      <w:tr w:rsidR="006052A5" w14:paraId="0104EBCB"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2F2369" w14:textId="77777777" w:rsidR="006052A5" w:rsidRDefault="00000000">
            <w:pPr>
              <w:spacing w:before="20" w:after="20"/>
            </w:pPr>
            <w:r>
              <w:rPr>
                <w:color w:val="404040"/>
                <w:sz w:val="18"/>
                <w:szCs w:val="18"/>
              </w:rPr>
              <w:t>Accepted part-time employment outside area of study</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6E5021" w14:textId="77777777" w:rsidR="006052A5" w:rsidRDefault="00000000">
            <w:pPr>
              <w:spacing w:before="20" w:after="20"/>
              <w:jc w:val="center"/>
            </w:pPr>
            <w:r>
              <w:rPr>
                <w:color w:val="404040"/>
                <w:sz w:val="18"/>
                <w:szCs w:val="18"/>
              </w:rPr>
              <w:t>3 (12%)</w:t>
            </w:r>
          </w:p>
        </w:tc>
      </w:tr>
      <w:tr w:rsidR="006052A5" w14:paraId="053DED6F"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4D66A24" w14:textId="77777777" w:rsidR="006052A5" w:rsidRDefault="00000000">
            <w:pPr>
              <w:spacing w:before="20" w:after="20"/>
            </w:pPr>
            <w:r>
              <w:rPr>
                <w:color w:val="404040"/>
                <w:sz w:val="18"/>
                <w:szCs w:val="18"/>
              </w:rPr>
              <w:t>Plan to continue in current employment</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0B2C50B" w14:textId="77777777" w:rsidR="006052A5" w:rsidRDefault="00000000">
            <w:pPr>
              <w:spacing w:before="20" w:after="20"/>
              <w:jc w:val="center"/>
            </w:pPr>
            <w:r>
              <w:rPr>
                <w:color w:val="404040"/>
                <w:sz w:val="18"/>
                <w:szCs w:val="18"/>
              </w:rPr>
              <w:t>2 (8%)</w:t>
            </w:r>
          </w:p>
        </w:tc>
      </w:tr>
      <w:tr w:rsidR="006052A5" w14:paraId="7F92B7F8"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CA8086" w14:textId="77777777" w:rsidR="006052A5" w:rsidRDefault="00000000">
            <w:pPr>
              <w:spacing w:before="20" w:after="20"/>
            </w:pPr>
            <w:r>
              <w:rPr>
                <w:color w:val="404040"/>
                <w:sz w:val="18"/>
                <w:szCs w:val="18"/>
              </w:rPr>
              <w:t>Accepted full-time employment outside area of study</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B1518E" w14:textId="77777777" w:rsidR="006052A5" w:rsidRDefault="00000000">
            <w:pPr>
              <w:spacing w:before="20" w:after="20"/>
              <w:jc w:val="center"/>
            </w:pPr>
            <w:r>
              <w:rPr>
                <w:color w:val="404040"/>
                <w:sz w:val="18"/>
                <w:szCs w:val="18"/>
              </w:rPr>
              <w:t>1 (4%)</w:t>
            </w:r>
          </w:p>
        </w:tc>
      </w:tr>
      <w:tr w:rsidR="006052A5" w14:paraId="6F17F8FA"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AA8A599" w14:textId="77777777" w:rsidR="006052A5" w:rsidRDefault="00000000">
            <w:pPr>
              <w:spacing w:before="20" w:after="20"/>
            </w:pPr>
            <w:r>
              <w:rPr>
                <w:color w:val="404040"/>
                <w:sz w:val="18"/>
                <w:szCs w:val="18"/>
              </w:rPr>
              <w:t>Accepted part-time employment in area of study</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2E5A5D6" w14:textId="77777777" w:rsidR="006052A5" w:rsidRDefault="00000000">
            <w:pPr>
              <w:spacing w:before="20" w:after="20"/>
              <w:jc w:val="center"/>
            </w:pPr>
            <w:r>
              <w:rPr>
                <w:color w:val="404040"/>
                <w:sz w:val="18"/>
                <w:szCs w:val="18"/>
              </w:rPr>
              <w:t>1 (4%)</w:t>
            </w:r>
          </w:p>
        </w:tc>
      </w:tr>
      <w:tr w:rsidR="006052A5" w14:paraId="52C58F3B"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B780CA" w14:textId="77777777" w:rsidR="006052A5" w:rsidRDefault="00000000">
            <w:pPr>
              <w:spacing w:before="20" w:after="20"/>
            </w:pPr>
            <w:r>
              <w:rPr>
                <w:color w:val="404040"/>
                <w:sz w:val="18"/>
                <w:szCs w:val="18"/>
              </w:rPr>
              <w:t>Do not plan to be employed in the near future</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D4837F" w14:textId="77777777" w:rsidR="006052A5" w:rsidRDefault="00000000">
            <w:pPr>
              <w:spacing w:before="20" w:after="20"/>
              <w:jc w:val="center"/>
            </w:pPr>
            <w:r>
              <w:rPr>
                <w:color w:val="404040"/>
                <w:sz w:val="18"/>
                <w:szCs w:val="18"/>
              </w:rPr>
              <w:t>1 (4%)</w:t>
            </w:r>
          </w:p>
        </w:tc>
      </w:tr>
    </w:tbl>
    <w:p w14:paraId="00149A16" w14:textId="77777777" w:rsidR="006052A5" w:rsidRDefault="006052A5">
      <w:pPr>
        <w:spacing w:before="40" w:after="40"/>
      </w:pPr>
    </w:p>
    <w:p w14:paraId="3167F4B1" w14:textId="77777777" w:rsidR="006052A5" w:rsidRDefault="00000000">
      <w:pPr>
        <w:spacing w:before="80" w:after="80" w:line="276" w:lineRule="auto"/>
      </w:pPr>
      <w:r>
        <w:rPr>
          <w:color w:val="404040"/>
        </w:rPr>
        <w:t>At the time of survey administration, 52% of completers were still seeking employment. Of those who had secured positions, 20% were employed in their area of study. This suggests an opportunity to enhance career placement support services.</w:t>
      </w:r>
    </w:p>
    <w:p w14:paraId="7C22F4B4" w14:textId="77777777" w:rsidR="006052A5" w:rsidRDefault="00000000">
      <w:r>
        <w:br w:type="page"/>
      </w:r>
    </w:p>
    <w:p w14:paraId="64129307" w14:textId="77777777" w:rsidR="006052A5" w:rsidRDefault="00000000">
      <w:pPr>
        <w:pStyle w:val="Heading1"/>
      </w:pPr>
      <w:r>
        <w:lastRenderedPageBreak/>
        <w:t>5. Qualitative Findings</w:t>
      </w:r>
    </w:p>
    <w:p w14:paraId="379F5420" w14:textId="77777777" w:rsidR="006052A5" w:rsidRDefault="00000000">
      <w:pPr>
        <w:spacing w:before="80" w:after="80" w:line="276" w:lineRule="auto"/>
      </w:pPr>
      <w:r>
        <w:rPr>
          <w:color w:val="404040"/>
        </w:rPr>
        <w:t>Completers responded to two open-ended items: program strengths and suggestions for improvement. Responses were thematically coded. Original responses are presented in a bilingual context (English and Spanish) reflecting the linguistic reality of the program.</w:t>
      </w:r>
    </w:p>
    <w:p w14:paraId="766B2EA2" w14:textId="77777777" w:rsidR="006052A5" w:rsidRDefault="00000000">
      <w:pPr>
        <w:pStyle w:val="Heading2"/>
      </w:pPr>
      <w:r>
        <w:t>5.1 Program Strengths</w:t>
      </w:r>
    </w:p>
    <w:p w14:paraId="08E8E2FC" w14:textId="77777777" w:rsidR="006052A5" w:rsidRDefault="00000000">
      <w:pPr>
        <w:spacing w:before="80" w:after="80" w:line="276" w:lineRule="auto"/>
      </w:pPr>
      <w:r>
        <w:rPr>
          <w:color w:val="404040"/>
        </w:rPr>
        <w:t>The following themes emerged from 23 responses to the open-ended strengths question:</w:t>
      </w:r>
    </w:p>
    <w:p w14:paraId="695880D6" w14:textId="77777777" w:rsidR="006052A5" w:rsidRDefault="00000000">
      <w:pPr>
        <w:spacing w:before="200" w:after="120"/>
      </w:pPr>
      <w:r>
        <w:rPr>
          <w:b/>
          <w:bCs/>
          <w:color w:val="1F3864"/>
          <w:sz w:val="22"/>
          <w:szCs w:val="22"/>
        </w:rPr>
        <w:t>Theme 1: Faculty Quality and Dedication (Most Frequent)</w:t>
      </w:r>
    </w:p>
    <w:p w14:paraId="035380CA" w14:textId="77777777" w:rsidR="006052A5" w:rsidRDefault="00000000">
      <w:pPr>
        <w:spacing w:before="80" w:after="80" w:line="276" w:lineRule="auto"/>
      </w:pPr>
      <w:r>
        <w:rPr>
          <w:color w:val="404040"/>
        </w:rPr>
        <w:t>The most cited strength was the quality of the faculty. Completers consistently praised professors for their expertise, attention to detail, responsiveness, and commitment to student success. References to faculty appeared in approximately 60% of responses.</w:t>
      </w:r>
    </w:p>
    <w:p w14:paraId="35808034" w14:textId="77777777" w:rsidR="006052A5" w:rsidRDefault="00000000">
      <w:pPr>
        <w:spacing w:before="200" w:after="120"/>
      </w:pPr>
      <w:r>
        <w:rPr>
          <w:b/>
          <w:bCs/>
          <w:color w:val="1F3864"/>
          <w:sz w:val="22"/>
          <w:szCs w:val="22"/>
        </w:rPr>
        <w:t>Theme 2: Comprehensive and Practical Preparation</w:t>
      </w:r>
    </w:p>
    <w:p w14:paraId="1DC314ED" w14:textId="77777777" w:rsidR="006052A5" w:rsidRDefault="00000000">
      <w:pPr>
        <w:spacing w:before="80" w:after="80" w:line="276" w:lineRule="auto"/>
      </w:pPr>
      <w:r>
        <w:rPr>
          <w:color w:val="404040"/>
        </w:rPr>
        <w:t>Completers valued the program’s holistic approach to teacher preparation, noting that it covers all necessary foundations for classroom readiness. Several highlighted the integration of practical experiences with rigorous academic training.</w:t>
      </w:r>
    </w:p>
    <w:p w14:paraId="60067DE5" w14:textId="77777777" w:rsidR="006052A5" w:rsidRDefault="00000000">
      <w:pPr>
        <w:spacing w:before="200" w:after="120"/>
      </w:pPr>
      <w:r>
        <w:rPr>
          <w:b/>
          <w:bCs/>
          <w:color w:val="1F3864"/>
          <w:sz w:val="22"/>
          <w:szCs w:val="22"/>
        </w:rPr>
        <w:t>Theme 3: Student-Centered Approach</w:t>
      </w:r>
    </w:p>
    <w:p w14:paraId="7418A410" w14:textId="77777777" w:rsidR="006052A5" w:rsidRDefault="00000000">
      <w:pPr>
        <w:spacing w:before="80" w:after="80" w:line="276" w:lineRule="auto"/>
      </w:pPr>
      <w:r>
        <w:rPr>
          <w:color w:val="404040"/>
        </w:rPr>
        <w:t>Multiple respondents emphasized the program’s attention to individual student needs, including individualized instruction, openness to questions, and ongoing support for professional growth.</w:t>
      </w:r>
    </w:p>
    <w:p w14:paraId="705AECE6" w14:textId="77777777" w:rsidR="006052A5" w:rsidRDefault="00000000">
      <w:pPr>
        <w:spacing w:before="200" w:after="120"/>
      </w:pPr>
      <w:r>
        <w:rPr>
          <w:b/>
          <w:bCs/>
          <w:color w:val="1F3864"/>
          <w:sz w:val="22"/>
          <w:szCs w:val="22"/>
        </w:rPr>
        <w:t>Theme 4: Organization and Structure</w:t>
      </w:r>
    </w:p>
    <w:p w14:paraId="6B3F33C1" w14:textId="77777777" w:rsidR="006052A5" w:rsidRDefault="00000000">
      <w:pPr>
        <w:spacing w:before="80" w:after="80" w:line="276" w:lineRule="auto"/>
      </w:pPr>
      <w:r>
        <w:rPr>
          <w:color w:val="404040"/>
        </w:rPr>
        <w:t>Completers acknowledged the clear organizational structure and sequential requirements that ensure systematic preparation for the teaching profession.</w:t>
      </w:r>
    </w:p>
    <w:p w14:paraId="72B16B38" w14:textId="77777777" w:rsidR="006052A5" w:rsidRDefault="00000000">
      <w:pPr>
        <w:pStyle w:val="Heading2"/>
      </w:pPr>
      <w:r>
        <w:t>5.2 Suggestions for Improvement</w:t>
      </w:r>
    </w:p>
    <w:p w14:paraId="1B6B4A24" w14:textId="77777777" w:rsidR="006052A5" w:rsidRDefault="00000000">
      <w:pPr>
        <w:spacing w:before="80" w:after="80" w:line="276" w:lineRule="auto"/>
      </w:pPr>
      <w:r>
        <w:rPr>
          <w:color w:val="404040"/>
        </w:rPr>
        <w:t>The following themes emerged from 18 substantive responses:</w:t>
      </w:r>
    </w:p>
    <w:p w14:paraId="7E081839" w14:textId="77777777" w:rsidR="006052A5" w:rsidRDefault="00000000">
      <w:pPr>
        <w:spacing w:before="200" w:after="120"/>
      </w:pPr>
      <w:r>
        <w:rPr>
          <w:b/>
          <w:bCs/>
          <w:color w:val="1F3864"/>
          <w:sz w:val="22"/>
          <w:szCs w:val="22"/>
        </w:rPr>
        <w:t>Theme 1: Assessment Course as Requirement (Most Frequent)</w:t>
      </w:r>
    </w:p>
    <w:p w14:paraId="1796380C" w14:textId="77777777" w:rsidR="006052A5" w:rsidRDefault="00000000">
      <w:pPr>
        <w:spacing w:before="80" w:after="80" w:line="276" w:lineRule="auto"/>
      </w:pPr>
      <w:r>
        <w:rPr>
          <w:color w:val="404040"/>
        </w:rPr>
        <w:t>Multiple completers recommended making the Assessment of Learning course a mandatory requirement, noting its critical importance for professional preparation despite it no longer being required for licensure.</w:t>
      </w:r>
    </w:p>
    <w:p w14:paraId="78F0E911" w14:textId="77777777" w:rsidR="006052A5" w:rsidRDefault="00000000">
      <w:pPr>
        <w:spacing w:before="200" w:after="120"/>
      </w:pPr>
      <w:r>
        <w:rPr>
          <w:b/>
          <w:bCs/>
          <w:color w:val="1F3864"/>
          <w:sz w:val="22"/>
          <w:szCs w:val="22"/>
        </w:rPr>
        <w:t>Theme 2: AI Integration</w:t>
      </w:r>
    </w:p>
    <w:p w14:paraId="4D2A20AB" w14:textId="77777777" w:rsidR="006052A5" w:rsidRDefault="00000000">
      <w:pPr>
        <w:spacing w:before="80" w:after="80" w:line="276" w:lineRule="auto"/>
      </w:pPr>
      <w:r>
        <w:rPr>
          <w:color w:val="404040"/>
        </w:rPr>
        <w:t>Completers suggested creating a mandatory course on the effective use of AI tools inside and outside the classroom, reflecting the growing importance of artificial intelligence in education.</w:t>
      </w:r>
    </w:p>
    <w:p w14:paraId="643424BF" w14:textId="77777777" w:rsidR="006052A5" w:rsidRDefault="00000000">
      <w:pPr>
        <w:spacing w:before="200" w:after="120"/>
      </w:pPr>
      <w:r>
        <w:rPr>
          <w:b/>
          <w:bCs/>
          <w:color w:val="1F3864"/>
          <w:sz w:val="22"/>
          <w:szCs w:val="22"/>
        </w:rPr>
        <w:t>Theme 3: Clinical Experience Coordination</w:t>
      </w:r>
    </w:p>
    <w:p w14:paraId="3F72B16B" w14:textId="77777777" w:rsidR="006052A5" w:rsidRDefault="00000000">
      <w:pPr>
        <w:spacing w:before="80" w:after="80" w:line="276" w:lineRule="auto"/>
      </w:pPr>
      <w:r>
        <w:rPr>
          <w:color w:val="404040"/>
        </w:rPr>
        <w:t>Several respondents recommended improving the clinical placement process, including maintaining an updated and vetted catalog of cooperating teachers and integrating earlier clinical experiences in the program sequence.</w:t>
      </w:r>
    </w:p>
    <w:p w14:paraId="2E0D1D47" w14:textId="77777777" w:rsidR="006052A5" w:rsidRDefault="00000000">
      <w:pPr>
        <w:spacing w:before="200" w:after="120"/>
      </w:pPr>
      <w:r>
        <w:rPr>
          <w:b/>
          <w:bCs/>
          <w:color w:val="1F3864"/>
          <w:sz w:val="22"/>
          <w:szCs w:val="22"/>
        </w:rPr>
        <w:t>Theme 4: Course Scheduling Flexibility</w:t>
      </w:r>
    </w:p>
    <w:p w14:paraId="48290A9A" w14:textId="77777777" w:rsidR="006052A5" w:rsidRDefault="00000000">
      <w:pPr>
        <w:spacing w:before="80" w:after="80" w:line="276" w:lineRule="auto"/>
      </w:pPr>
      <w:r>
        <w:rPr>
          <w:color w:val="404040"/>
        </w:rPr>
        <w:t>Completers noted that rigid semester-specific offerings for methodology courses limit access for students who enter the program at different points.</w:t>
      </w:r>
    </w:p>
    <w:p w14:paraId="69889FAB" w14:textId="77777777" w:rsidR="006052A5" w:rsidRDefault="00000000">
      <w:pPr>
        <w:spacing w:before="200" w:after="120"/>
      </w:pPr>
      <w:r>
        <w:rPr>
          <w:b/>
          <w:bCs/>
          <w:color w:val="1F3864"/>
          <w:sz w:val="22"/>
          <w:szCs w:val="22"/>
        </w:rPr>
        <w:lastRenderedPageBreak/>
        <w:t>Theme 5: Employment Support</w:t>
      </w:r>
    </w:p>
    <w:p w14:paraId="39624846" w14:textId="77777777" w:rsidR="006052A5" w:rsidRDefault="00000000">
      <w:pPr>
        <w:spacing w:before="80" w:after="80" w:line="276" w:lineRule="auto"/>
      </w:pPr>
      <w:r>
        <w:rPr>
          <w:color w:val="404040"/>
        </w:rPr>
        <w:t>Some completers requested more counseling and support for job placement and employment opportunities upon program completion.</w:t>
      </w:r>
    </w:p>
    <w:p w14:paraId="0A7B8784" w14:textId="77777777" w:rsidR="006052A5" w:rsidRDefault="00000000">
      <w:r>
        <w:br w:type="page"/>
      </w:r>
    </w:p>
    <w:p w14:paraId="400A7D83" w14:textId="77777777" w:rsidR="006052A5" w:rsidRDefault="00000000">
      <w:pPr>
        <w:pStyle w:val="Heading1"/>
      </w:pPr>
      <w:r>
        <w:lastRenderedPageBreak/>
        <w:t>6. Program Implications and Action Items</w:t>
      </w:r>
    </w:p>
    <w:p w14:paraId="6D7DEB05" w14:textId="77777777" w:rsidR="006052A5" w:rsidRDefault="00000000">
      <w:pPr>
        <w:spacing w:before="80" w:after="80" w:line="276" w:lineRule="auto"/>
      </w:pPr>
      <w:r>
        <w:rPr>
          <w:color w:val="404040"/>
        </w:rPr>
        <w:t>Based on the quantitative and qualitative findings from this completer exit survey, the EPP has identified the following priority areas for continuous improvement:</w:t>
      </w:r>
    </w:p>
    <w:p w14:paraId="12AE1641" w14:textId="77777777" w:rsidR="006052A5" w:rsidRDefault="00000000">
      <w:pPr>
        <w:pStyle w:val="ListParagraph"/>
        <w:numPr>
          <w:ilvl w:val="0"/>
          <w:numId w:val="2"/>
        </w:numPr>
        <w:spacing w:before="80" w:after="80"/>
      </w:pPr>
      <w:r>
        <w:rPr>
          <w:b/>
          <w:bCs/>
          <w:color w:val="404040"/>
        </w:rPr>
        <w:t xml:space="preserve">Strengthen Assessment Literacy: </w:t>
      </w:r>
      <w:r>
        <w:rPr>
          <w:color w:val="404040"/>
        </w:rPr>
        <w:t>Review the role of the Assessment of Learning course in the curriculum. Consider making it a required component or embedding assessment competencies more explicitly across existing coursework. (Addresses items 21, 23, 24 and qualitative theme)</w:t>
      </w:r>
    </w:p>
    <w:p w14:paraId="3B98839F" w14:textId="77777777" w:rsidR="006052A5" w:rsidRDefault="00000000">
      <w:pPr>
        <w:pStyle w:val="ListParagraph"/>
        <w:numPr>
          <w:ilvl w:val="0"/>
          <w:numId w:val="2"/>
        </w:numPr>
        <w:spacing w:before="80" w:after="80"/>
      </w:pPr>
      <w:r>
        <w:rPr>
          <w:b/>
          <w:bCs/>
          <w:color w:val="404040"/>
        </w:rPr>
        <w:t xml:space="preserve">Improve Clinical Supervision Consistency: </w:t>
      </w:r>
      <w:r>
        <w:rPr>
          <w:color w:val="404040"/>
        </w:rPr>
        <w:t>Develop and maintain a vetted registry of cooperating teachers. Establish more structured feedback protocols and earlier clinical placements. (Addresses clinical experience items and qualitative themes)</w:t>
      </w:r>
    </w:p>
    <w:p w14:paraId="64FE3397" w14:textId="77777777" w:rsidR="006052A5" w:rsidRDefault="00000000">
      <w:pPr>
        <w:pStyle w:val="ListParagraph"/>
        <w:numPr>
          <w:ilvl w:val="0"/>
          <w:numId w:val="2"/>
        </w:numPr>
        <w:spacing w:before="80" w:after="80"/>
      </w:pPr>
      <w:r>
        <w:rPr>
          <w:b/>
          <w:bCs/>
          <w:color w:val="404040"/>
        </w:rPr>
        <w:t xml:space="preserve">Expand AI and Technology Integration: </w:t>
      </w:r>
      <w:r>
        <w:rPr>
          <w:color w:val="404040"/>
        </w:rPr>
        <w:t>Develop curricular modules or a dedicated course on AI tools in education, including ethical considerations and practical applications. (Addresses digital competency item 9 and qualitative theme)</w:t>
      </w:r>
    </w:p>
    <w:p w14:paraId="070E16FA" w14:textId="77777777" w:rsidR="006052A5" w:rsidRDefault="00000000">
      <w:pPr>
        <w:pStyle w:val="ListParagraph"/>
        <w:numPr>
          <w:ilvl w:val="0"/>
          <w:numId w:val="2"/>
        </w:numPr>
        <w:spacing w:before="80" w:after="80"/>
      </w:pPr>
      <w:r>
        <w:rPr>
          <w:b/>
          <w:bCs/>
          <w:color w:val="404040"/>
        </w:rPr>
        <w:t xml:space="preserve">Increase Professional Organization Engagement: </w:t>
      </w:r>
      <w:r>
        <w:rPr>
          <w:color w:val="404040"/>
        </w:rPr>
        <w:t>Create structured opportunities for candidates to participate in professional organizations during the program. (Addresses teaching competency item 11 and professional dispositions item 36)</w:t>
      </w:r>
    </w:p>
    <w:p w14:paraId="4294369C" w14:textId="77777777" w:rsidR="006052A5" w:rsidRDefault="00000000">
      <w:pPr>
        <w:pStyle w:val="ListParagraph"/>
        <w:numPr>
          <w:ilvl w:val="0"/>
          <w:numId w:val="2"/>
        </w:numPr>
        <w:spacing w:before="80" w:after="80"/>
      </w:pPr>
      <w:r>
        <w:rPr>
          <w:b/>
          <w:bCs/>
          <w:color w:val="404040"/>
        </w:rPr>
        <w:t xml:space="preserve">Enhance Employment Support Services: </w:t>
      </w:r>
      <w:r>
        <w:rPr>
          <w:color w:val="404040"/>
        </w:rPr>
        <w:t>Strengthen career counseling and job placement support, given that 52% of completers were still seeking employment at program completion. (Addresses employment data and qualitative theme)</w:t>
      </w:r>
    </w:p>
    <w:p w14:paraId="4AFFC494" w14:textId="77777777" w:rsidR="006052A5" w:rsidRDefault="00000000">
      <w:pPr>
        <w:pStyle w:val="ListParagraph"/>
        <w:numPr>
          <w:ilvl w:val="0"/>
          <w:numId w:val="2"/>
        </w:numPr>
        <w:spacing w:before="80" w:after="80"/>
      </w:pPr>
      <w:r>
        <w:rPr>
          <w:b/>
          <w:bCs/>
          <w:color w:val="404040"/>
        </w:rPr>
        <w:t xml:space="preserve">Strengthen English Communication Skills: </w:t>
      </w:r>
      <w:r>
        <w:rPr>
          <w:color w:val="404040"/>
        </w:rPr>
        <w:t>Address the variability in English communication preparedness (M = 3.60, SD = 0.71), the lowest-rated item in the teaching competencies domain. (Addresses teaching competency item 7)</w:t>
      </w:r>
    </w:p>
    <w:p w14:paraId="51254DA9" w14:textId="77777777" w:rsidR="006052A5" w:rsidRDefault="00000000">
      <w:pPr>
        <w:pStyle w:val="Heading1"/>
      </w:pPr>
      <w:r>
        <w:t>7. Continuous Improvement</w:t>
      </w:r>
    </w:p>
    <w:p w14:paraId="1F213BD1" w14:textId="793B887B" w:rsidR="006052A5" w:rsidRDefault="009B7BEB">
      <w:pPr>
        <w:spacing w:before="80" w:after="80" w:line="276" w:lineRule="auto"/>
      </w:pPr>
      <w:r>
        <w:t>Completers generally meet or exceed expected levels of preparation across all domains; however, these findings are continuously reviewed to identify areas for targeted program improvement.</w:t>
      </w:r>
      <w:r>
        <w:t xml:space="preserve"> </w:t>
      </w:r>
      <w:r w:rsidR="0069457B">
        <w:t>The EPP will monitor the impact of these actions in subsequent data cycles to evaluate their effectiveness and inform ongoing program improvement.</w:t>
      </w:r>
      <w:r w:rsidR="0069457B">
        <w:t xml:space="preserve"> </w:t>
      </w:r>
      <w:r w:rsidR="00000000">
        <w:rPr>
          <w:color w:val="404040"/>
        </w:rPr>
        <w:t>These findings are integrated into the EPP’s Quality Assurance System (QAS) and are systematically reviewed to inform decision-making and program improvement. The data from this Completer Exit Survey (Informe 1) will be triangulated with alumni follow-up survey data (Informe 2) to provide a more comprehensive understanding of program effectiveness and long-term impact.</w:t>
      </w:r>
    </w:p>
    <w:p w14:paraId="59007839" w14:textId="77777777" w:rsidR="006052A5" w:rsidRDefault="00000000">
      <w:pPr>
        <w:spacing w:before="80" w:after="80" w:line="276" w:lineRule="auto"/>
      </w:pPr>
      <w:r>
        <w:rPr>
          <w:color w:val="404040"/>
        </w:rPr>
        <w:t>The EPP is committed to using multiple measures and data sources to drive evidence-based program modifications in alignment with CAEP Standards for continuous improvement.</w:t>
      </w:r>
    </w:p>
    <w:p w14:paraId="0210FE80" w14:textId="77777777" w:rsidR="006052A5" w:rsidRDefault="006052A5">
      <w:pPr>
        <w:spacing w:before="40" w:after="40"/>
      </w:pPr>
    </w:p>
    <w:p w14:paraId="6100152B" w14:textId="77777777" w:rsidR="006052A5" w:rsidRDefault="006052A5">
      <w:pPr>
        <w:pBdr>
          <w:bottom w:val="single" w:sz="6" w:space="1" w:color="2E75B6"/>
        </w:pBdr>
        <w:jc w:val="center"/>
      </w:pPr>
    </w:p>
    <w:p w14:paraId="5B38F3F4" w14:textId="77777777" w:rsidR="006052A5" w:rsidRDefault="006052A5">
      <w:pPr>
        <w:spacing w:before="40" w:after="40"/>
      </w:pPr>
    </w:p>
    <w:p w14:paraId="32F3C69C" w14:textId="337617D7" w:rsidR="006052A5" w:rsidRDefault="006052A5">
      <w:pPr>
        <w:jc w:val="center"/>
      </w:pPr>
    </w:p>
    <w:p w14:paraId="4D1728E3" w14:textId="0077D37C" w:rsidR="006052A5" w:rsidRDefault="006052A5" w:rsidP="00FD0FDC"/>
    <w:sectPr w:rsidR="006052A5">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7663" w14:textId="77777777" w:rsidR="00FB1501" w:rsidRDefault="00FB1501">
      <w:r>
        <w:separator/>
      </w:r>
    </w:p>
  </w:endnote>
  <w:endnote w:type="continuationSeparator" w:id="0">
    <w:p w14:paraId="70E742A7" w14:textId="77777777" w:rsidR="00FB1501" w:rsidRDefault="00FB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F935" w14:textId="56C01E4A" w:rsidR="006052A5" w:rsidRDefault="00000000">
    <w:pPr>
      <w:jc w:val="center"/>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C66137">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E27E" w14:textId="77777777" w:rsidR="00FB1501" w:rsidRDefault="00FB1501">
      <w:r>
        <w:separator/>
      </w:r>
    </w:p>
  </w:footnote>
  <w:footnote w:type="continuationSeparator" w:id="0">
    <w:p w14:paraId="23D712FC" w14:textId="77777777" w:rsidR="00FB1501" w:rsidRDefault="00FB1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FE98" w14:textId="77777777" w:rsidR="006052A5" w:rsidRDefault="00000000">
    <w:pPr>
      <w:jc w:val="right"/>
    </w:pPr>
    <w:r>
      <w:rPr>
        <w:i/>
        <w:iCs/>
        <w:color w:val="999999"/>
        <w:sz w:val="16"/>
        <w:szCs w:val="16"/>
      </w:rPr>
      <w:t>CAEP Completer Survey Report | PPM UPRM |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D82"/>
    <w:multiLevelType w:val="hybridMultilevel"/>
    <w:tmpl w:val="136A16D8"/>
    <w:lvl w:ilvl="0" w:tplc="A9A48888">
      <w:start w:val="1"/>
      <w:numFmt w:val="bullet"/>
      <w:lvlText w:val="●"/>
      <w:lvlJc w:val="left"/>
      <w:pPr>
        <w:ind w:left="720" w:hanging="360"/>
      </w:pPr>
    </w:lvl>
    <w:lvl w:ilvl="1" w:tplc="3C1A356E">
      <w:start w:val="1"/>
      <w:numFmt w:val="bullet"/>
      <w:lvlText w:val="○"/>
      <w:lvlJc w:val="left"/>
      <w:pPr>
        <w:ind w:left="1440" w:hanging="360"/>
      </w:pPr>
    </w:lvl>
    <w:lvl w:ilvl="2" w:tplc="2FC06904">
      <w:start w:val="1"/>
      <w:numFmt w:val="bullet"/>
      <w:lvlText w:val="■"/>
      <w:lvlJc w:val="left"/>
      <w:pPr>
        <w:ind w:left="2160" w:hanging="360"/>
      </w:pPr>
    </w:lvl>
    <w:lvl w:ilvl="3" w:tplc="1EF89868">
      <w:start w:val="1"/>
      <w:numFmt w:val="bullet"/>
      <w:lvlText w:val="●"/>
      <w:lvlJc w:val="left"/>
      <w:pPr>
        <w:ind w:left="2880" w:hanging="360"/>
      </w:pPr>
    </w:lvl>
    <w:lvl w:ilvl="4" w:tplc="7D76A2AC">
      <w:start w:val="1"/>
      <w:numFmt w:val="bullet"/>
      <w:lvlText w:val="○"/>
      <w:lvlJc w:val="left"/>
      <w:pPr>
        <w:ind w:left="3600" w:hanging="360"/>
      </w:pPr>
    </w:lvl>
    <w:lvl w:ilvl="5" w:tplc="1186AB3C">
      <w:start w:val="1"/>
      <w:numFmt w:val="bullet"/>
      <w:lvlText w:val="■"/>
      <w:lvlJc w:val="left"/>
      <w:pPr>
        <w:ind w:left="4320" w:hanging="360"/>
      </w:pPr>
    </w:lvl>
    <w:lvl w:ilvl="6" w:tplc="B65ED16E">
      <w:start w:val="1"/>
      <w:numFmt w:val="bullet"/>
      <w:lvlText w:val="●"/>
      <w:lvlJc w:val="left"/>
      <w:pPr>
        <w:ind w:left="5040" w:hanging="360"/>
      </w:pPr>
    </w:lvl>
    <w:lvl w:ilvl="7" w:tplc="0BF4CAF8">
      <w:start w:val="1"/>
      <w:numFmt w:val="bullet"/>
      <w:lvlText w:val="●"/>
      <w:lvlJc w:val="left"/>
      <w:pPr>
        <w:ind w:left="5760" w:hanging="360"/>
      </w:pPr>
    </w:lvl>
    <w:lvl w:ilvl="8" w:tplc="014C13AC">
      <w:start w:val="1"/>
      <w:numFmt w:val="bullet"/>
      <w:lvlText w:val="●"/>
      <w:lvlJc w:val="left"/>
      <w:pPr>
        <w:ind w:left="6480" w:hanging="360"/>
      </w:pPr>
    </w:lvl>
  </w:abstractNum>
  <w:abstractNum w:abstractNumId="1" w15:restartNumberingAfterBreak="0">
    <w:nsid w:val="0CA3031D"/>
    <w:multiLevelType w:val="hybridMultilevel"/>
    <w:tmpl w:val="45C28670"/>
    <w:lvl w:ilvl="0" w:tplc="20EC5472">
      <w:start w:val="1"/>
      <w:numFmt w:val="bullet"/>
      <w:lvlText w:val="•"/>
      <w:lvlJc w:val="left"/>
      <w:pPr>
        <w:ind w:left="720" w:hanging="360"/>
      </w:pPr>
    </w:lvl>
    <w:lvl w:ilvl="1" w:tplc="2C401D88">
      <w:numFmt w:val="decimal"/>
      <w:lvlText w:val=""/>
      <w:lvlJc w:val="left"/>
    </w:lvl>
    <w:lvl w:ilvl="2" w:tplc="2C62FE2C">
      <w:numFmt w:val="decimal"/>
      <w:lvlText w:val=""/>
      <w:lvlJc w:val="left"/>
    </w:lvl>
    <w:lvl w:ilvl="3" w:tplc="70DE9422">
      <w:numFmt w:val="decimal"/>
      <w:lvlText w:val=""/>
      <w:lvlJc w:val="left"/>
    </w:lvl>
    <w:lvl w:ilvl="4" w:tplc="5184CA70">
      <w:numFmt w:val="decimal"/>
      <w:lvlText w:val=""/>
      <w:lvlJc w:val="left"/>
    </w:lvl>
    <w:lvl w:ilvl="5" w:tplc="A29A8086">
      <w:numFmt w:val="decimal"/>
      <w:lvlText w:val=""/>
      <w:lvlJc w:val="left"/>
    </w:lvl>
    <w:lvl w:ilvl="6" w:tplc="20EEAC28">
      <w:numFmt w:val="decimal"/>
      <w:lvlText w:val=""/>
      <w:lvlJc w:val="left"/>
    </w:lvl>
    <w:lvl w:ilvl="7" w:tplc="0D363E70">
      <w:numFmt w:val="decimal"/>
      <w:lvlText w:val=""/>
      <w:lvlJc w:val="left"/>
    </w:lvl>
    <w:lvl w:ilvl="8" w:tplc="E0108300">
      <w:numFmt w:val="decimal"/>
      <w:lvlText w:val=""/>
      <w:lvlJc w:val="left"/>
    </w:lvl>
  </w:abstractNum>
  <w:abstractNum w:abstractNumId="2" w15:restartNumberingAfterBreak="0">
    <w:nsid w:val="18897828"/>
    <w:multiLevelType w:val="hybridMultilevel"/>
    <w:tmpl w:val="D89A4800"/>
    <w:lvl w:ilvl="0" w:tplc="AFA28BB8">
      <w:start w:val="1"/>
      <w:numFmt w:val="bullet"/>
      <w:lvlText w:val="•"/>
      <w:lvlJc w:val="left"/>
      <w:pPr>
        <w:ind w:left="720" w:hanging="360"/>
      </w:pPr>
    </w:lvl>
    <w:lvl w:ilvl="1" w:tplc="755260BA">
      <w:numFmt w:val="decimal"/>
      <w:lvlText w:val=""/>
      <w:lvlJc w:val="left"/>
    </w:lvl>
    <w:lvl w:ilvl="2" w:tplc="38E2B46A">
      <w:numFmt w:val="decimal"/>
      <w:lvlText w:val=""/>
      <w:lvlJc w:val="left"/>
    </w:lvl>
    <w:lvl w:ilvl="3" w:tplc="C960E1F6">
      <w:numFmt w:val="decimal"/>
      <w:lvlText w:val=""/>
      <w:lvlJc w:val="left"/>
    </w:lvl>
    <w:lvl w:ilvl="4" w:tplc="199E1D68">
      <w:numFmt w:val="decimal"/>
      <w:lvlText w:val=""/>
      <w:lvlJc w:val="left"/>
    </w:lvl>
    <w:lvl w:ilvl="5" w:tplc="7E36537C">
      <w:numFmt w:val="decimal"/>
      <w:lvlText w:val=""/>
      <w:lvlJc w:val="left"/>
    </w:lvl>
    <w:lvl w:ilvl="6" w:tplc="41CA51D4">
      <w:numFmt w:val="decimal"/>
      <w:lvlText w:val=""/>
      <w:lvlJc w:val="left"/>
    </w:lvl>
    <w:lvl w:ilvl="7" w:tplc="9A1A551A">
      <w:numFmt w:val="decimal"/>
      <w:lvlText w:val=""/>
      <w:lvlJc w:val="left"/>
    </w:lvl>
    <w:lvl w:ilvl="8" w:tplc="46349A50">
      <w:numFmt w:val="decimal"/>
      <w:lvlText w:val=""/>
      <w:lvlJc w:val="left"/>
    </w:lvl>
  </w:abstractNum>
  <w:abstractNum w:abstractNumId="3" w15:restartNumberingAfterBreak="0">
    <w:nsid w:val="3F817E00"/>
    <w:multiLevelType w:val="hybridMultilevel"/>
    <w:tmpl w:val="43BA956A"/>
    <w:lvl w:ilvl="0" w:tplc="A1B62F56">
      <w:start w:val="1"/>
      <w:numFmt w:val="bullet"/>
      <w:lvlText w:val="•"/>
      <w:lvlJc w:val="left"/>
      <w:pPr>
        <w:ind w:left="720" w:hanging="360"/>
      </w:pPr>
    </w:lvl>
    <w:lvl w:ilvl="1" w:tplc="5CE40A64">
      <w:numFmt w:val="decimal"/>
      <w:lvlText w:val=""/>
      <w:lvlJc w:val="left"/>
    </w:lvl>
    <w:lvl w:ilvl="2" w:tplc="0F86012A">
      <w:numFmt w:val="decimal"/>
      <w:lvlText w:val=""/>
      <w:lvlJc w:val="left"/>
    </w:lvl>
    <w:lvl w:ilvl="3" w:tplc="F4DE76BA">
      <w:numFmt w:val="decimal"/>
      <w:lvlText w:val=""/>
      <w:lvlJc w:val="left"/>
    </w:lvl>
    <w:lvl w:ilvl="4" w:tplc="60507564">
      <w:numFmt w:val="decimal"/>
      <w:lvlText w:val=""/>
      <w:lvlJc w:val="left"/>
    </w:lvl>
    <w:lvl w:ilvl="5" w:tplc="EA123CB0">
      <w:numFmt w:val="decimal"/>
      <w:lvlText w:val=""/>
      <w:lvlJc w:val="left"/>
    </w:lvl>
    <w:lvl w:ilvl="6" w:tplc="A78890E4">
      <w:numFmt w:val="decimal"/>
      <w:lvlText w:val=""/>
      <w:lvlJc w:val="left"/>
    </w:lvl>
    <w:lvl w:ilvl="7" w:tplc="E0944A7E">
      <w:numFmt w:val="decimal"/>
      <w:lvlText w:val=""/>
      <w:lvlJc w:val="left"/>
    </w:lvl>
    <w:lvl w:ilvl="8" w:tplc="45BEE118">
      <w:numFmt w:val="decimal"/>
      <w:lvlText w:val=""/>
      <w:lvlJc w:val="left"/>
    </w:lvl>
  </w:abstractNum>
  <w:abstractNum w:abstractNumId="4" w15:restartNumberingAfterBreak="0">
    <w:nsid w:val="40CA451B"/>
    <w:multiLevelType w:val="hybridMultilevel"/>
    <w:tmpl w:val="A96AE104"/>
    <w:lvl w:ilvl="0" w:tplc="0B3A1232">
      <w:start w:val="1"/>
      <w:numFmt w:val="bullet"/>
      <w:lvlText w:val="•"/>
      <w:lvlJc w:val="left"/>
      <w:pPr>
        <w:ind w:left="720" w:hanging="360"/>
      </w:pPr>
    </w:lvl>
    <w:lvl w:ilvl="1" w:tplc="7E4CBAE8">
      <w:numFmt w:val="decimal"/>
      <w:lvlText w:val=""/>
      <w:lvlJc w:val="left"/>
    </w:lvl>
    <w:lvl w:ilvl="2" w:tplc="D3A03494">
      <w:numFmt w:val="decimal"/>
      <w:lvlText w:val=""/>
      <w:lvlJc w:val="left"/>
    </w:lvl>
    <w:lvl w:ilvl="3" w:tplc="71068AA0">
      <w:numFmt w:val="decimal"/>
      <w:lvlText w:val=""/>
      <w:lvlJc w:val="left"/>
    </w:lvl>
    <w:lvl w:ilvl="4" w:tplc="9F4CBADE">
      <w:numFmt w:val="decimal"/>
      <w:lvlText w:val=""/>
      <w:lvlJc w:val="left"/>
    </w:lvl>
    <w:lvl w:ilvl="5" w:tplc="7A221034">
      <w:numFmt w:val="decimal"/>
      <w:lvlText w:val=""/>
      <w:lvlJc w:val="left"/>
    </w:lvl>
    <w:lvl w:ilvl="6" w:tplc="D5DC0B04">
      <w:numFmt w:val="decimal"/>
      <w:lvlText w:val=""/>
      <w:lvlJc w:val="left"/>
    </w:lvl>
    <w:lvl w:ilvl="7" w:tplc="13DE7766">
      <w:numFmt w:val="decimal"/>
      <w:lvlText w:val=""/>
      <w:lvlJc w:val="left"/>
    </w:lvl>
    <w:lvl w:ilvl="8" w:tplc="0E30ACAC">
      <w:numFmt w:val="decimal"/>
      <w:lvlText w:val=""/>
      <w:lvlJc w:val="left"/>
    </w:lvl>
  </w:abstractNum>
  <w:abstractNum w:abstractNumId="5" w15:restartNumberingAfterBreak="0">
    <w:nsid w:val="6A5C2469"/>
    <w:multiLevelType w:val="hybridMultilevel"/>
    <w:tmpl w:val="1EEA47EE"/>
    <w:lvl w:ilvl="0" w:tplc="F5F8B55A">
      <w:start w:val="1"/>
      <w:numFmt w:val="bullet"/>
      <w:lvlText w:val="•"/>
      <w:lvlJc w:val="left"/>
      <w:pPr>
        <w:ind w:left="720" w:hanging="360"/>
      </w:pPr>
    </w:lvl>
    <w:lvl w:ilvl="1" w:tplc="E4341B08">
      <w:numFmt w:val="decimal"/>
      <w:lvlText w:val=""/>
      <w:lvlJc w:val="left"/>
    </w:lvl>
    <w:lvl w:ilvl="2" w:tplc="44CA87E0">
      <w:numFmt w:val="decimal"/>
      <w:lvlText w:val=""/>
      <w:lvlJc w:val="left"/>
    </w:lvl>
    <w:lvl w:ilvl="3" w:tplc="3D94ACE4">
      <w:numFmt w:val="decimal"/>
      <w:lvlText w:val=""/>
      <w:lvlJc w:val="left"/>
    </w:lvl>
    <w:lvl w:ilvl="4" w:tplc="4DE6FA66">
      <w:numFmt w:val="decimal"/>
      <w:lvlText w:val=""/>
      <w:lvlJc w:val="left"/>
    </w:lvl>
    <w:lvl w:ilvl="5" w:tplc="DE0E4B72">
      <w:numFmt w:val="decimal"/>
      <w:lvlText w:val=""/>
      <w:lvlJc w:val="left"/>
    </w:lvl>
    <w:lvl w:ilvl="6" w:tplc="DEAE4FA0">
      <w:numFmt w:val="decimal"/>
      <w:lvlText w:val=""/>
      <w:lvlJc w:val="left"/>
    </w:lvl>
    <w:lvl w:ilvl="7" w:tplc="33ACD892">
      <w:numFmt w:val="decimal"/>
      <w:lvlText w:val=""/>
      <w:lvlJc w:val="left"/>
    </w:lvl>
    <w:lvl w:ilvl="8" w:tplc="0BFAD64E">
      <w:numFmt w:val="decimal"/>
      <w:lvlText w:val=""/>
      <w:lvlJc w:val="left"/>
    </w:lvl>
  </w:abstractNum>
  <w:num w:numId="1" w16cid:durableId="377510979">
    <w:abstractNumId w:val="0"/>
    <w:lvlOverride w:ilvl="0">
      <w:startOverride w:val="1"/>
    </w:lvlOverride>
  </w:num>
  <w:num w:numId="2" w16cid:durableId="70209686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2A5"/>
    <w:rsid w:val="002D4881"/>
    <w:rsid w:val="006052A5"/>
    <w:rsid w:val="0069457B"/>
    <w:rsid w:val="008C0EC9"/>
    <w:rsid w:val="009B7BEB"/>
    <w:rsid w:val="00C66137"/>
    <w:rsid w:val="00FB1501"/>
    <w:rsid w:val="00FD0FDC"/>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171D1ACD"/>
  <w15:docId w15:val="{30B64F55-F8C0-CB4A-B69C-44B62BD4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80" w:after="16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3003</Words>
  <Characters>17359</Characters>
  <Application>Microsoft Office Word</Application>
  <DocSecurity>0</DocSecurity>
  <Lines>964</Lines>
  <Paragraphs>885</Paragraphs>
  <ScaleCrop>false</ScaleCrop>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Janette Ferrer Montes</cp:lastModifiedBy>
  <cp:revision>7</cp:revision>
  <dcterms:created xsi:type="dcterms:W3CDTF">2026-04-13T23:40:00Z</dcterms:created>
  <dcterms:modified xsi:type="dcterms:W3CDTF">2026-04-13T23:51:00Z</dcterms:modified>
</cp:coreProperties>
</file>