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9260" w14:textId="77777777" w:rsidR="00C9097F" w:rsidRDefault="00000000">
      <w:pPr>
        <w:spacing w:after="120"/>
        <w:jc w:val="center"/>
      </w:pPr>
      <w:r>
        <w:rPr>
          <w:b/>
          <w:bCs/>
          <w:color w:val="1F3864"/>
          <w:sz w:val="26"/>
          <w:szCs w:val="26"/>
        </w:rPr>
        <w:t>Educator Preparation Program (EPP)</w:t>
      </w:r>
    </w:p>
    <w:p w14:paraId="521850D4" w14:textId="77777777" w:rsidR="00C9097F" w:rsidRDefault="00000000">
      <w:pPr>
        <w:spacing w:after="80"/>
        <w:jc w:val="center"/>
      </w:pPr>
      <w:r>
        <w:rPr>
          <w:b/>
          <w:bCs/>
          <w:color w:val="1F3864"/>
          <w:sz w:val="24"/>
          <w:szCs w:val="24"/>
        </w:rPr>
        <w:t>Council for the Accreditation of Educator Preparation (CAEP)</w:t>
      </w:r>
    </w:p>
    <w:p w14:paraId="09E1BAB2" w14:textId="77777777" w:rsidR="00C9097F" w:rsidRDefault="00000000">
      <w:pPr>
        <w:pBdr>
          <w:bottom w:val="single" w:sz="12" w:space="6" w:color="1F3864"/>
        </w:pBdr>
        <w:spacing w:after="240"/>
        <w:jc w:val="center"/>
      </w:pPr>
      <w:r>
        <w:rPr>
          <w:i/>
          <w:iCs/>
          <w:color w:val="404040"/>
        </w:rPr>
        <w:t>Self-Study Report</w:t>
      </w:r>
    </w:p>
    <w:p w14:paraId="33C404CC" w14:textId="77777777" w:rsidR="00C9097F" w:rsidRDefault="00000000">
      <w:pPr>
        <w:spacing w:before="120" w:after="60"/>
        <w:jc w:val="center"/>
      </w:pPr>
      <w:r>
        <w:rPr>
          <w:b/>
          <w:bCs/>
          <w:color w:val="1F3864"/>
          <w:sz w:val="36"/>
          <w:szCs w:val="36"/>
        </w:rPr>
        <w:t>MEASURE 3</w:t>
      </w:r>
    </w:p>
    <w:p w14:paraId="01F8E08D" w14:textId="77777777" w:rsidR="00C9097F" w:rsidRDefault="00000000">
      <w:pPr>
        <w:spacing w:after="60"/>
        <w:jc w:val="center"/>
      </w:pPr>
      <w:r>
        <w:rPr>
          <w:b/>
          <w:bCs/>
          <w:sz w:val="28"/>
          <w:szCs w:val="28"/>
        </w:rPr>
        <w:t>Candidate Competency at Program Completion</w:t>
      </w:r>
    </w:p>
    <w:p w14:paraId="43CB3DEA" w14:textId="77777777" w:rsidR="00C9097F" w:rsidRDefault="00000000">
      <w:pPr>
        <w:spacing w:after="480"/>
        <w:jc w:val="center"/>
      </w:pPr>
      <w:r>
        <w:rPr>
          <w:i/>
          <w:iCs/>
          <w:color w:val="595959"/>
        </w:rPr>
        <w:t>(CAEP Component R3.3 – Initial Programs)</w:t>
      </w:r>
    </w:p>
    <w:p w14:paraId="671318CB" w14:textId="77777777" w:rsidR="00C9097F" w:rsidRDefault="00000000">
      <w:pPr>
        <w:pStyle w:val="Heading1"/>
      </w:pPr>
      <w:r>
        <w:t>Purpose</w:t>
      </w:r>
    </w:p>
    <w:p w14:paraId="62AB0BF8" w14:textId="77777777" w:rsidR="00C9097F" w:rsidRDefault="00000000">
      <w:pPr>
        <w:spacing w:after="160" w:line="300" w:lineRule="auto"/>
        <w:jc w:val="both"/>
      </w:pPr>
      <w:r>
        <w:t>This measure presents evidence of candidate competency at program completion based on multiple performance-based assessments implemented during the clinical practice experience. The analysis demonstrates that candidates meet professional standards aligned with InTASC and the expectations of the Puerto Rico Department of Education (PRDE) prior to program completion.</w:t>
      </w:r>
    </w:p>
    <w:p w14:paraId="56F71C55" w14:textId="77777777" w:rsidR="00C9097F" w:rsidRDefault="00000000">
      <w:pPr>
        <w:pStyle w:val="Heading1"/>
      </w:pPr>
      <w:r>
        <w:t>Assessment System Overview</w:t>
      </w:r>
    </w:p>
    <w:p w14:paraId="6106D0A7" w14:textId="77777777" w:rsidR="00C9097F" w:rsidRDefault="00000000">
      <w:pPr>
        <w:spacing w:after="160" w:line="300" w:lineRule="auto"/>
        <w:jc w:val="both"/>
      </w:pPr>
      <w:r>
        <w:t>The Educator Preparation Program (EPP) evaluates candidate competency through a comprehensive assessment system that includes multiple measures collected during the final clinical experience. These measures provide both formative and summative evidence of candidate performance across key domains of teaching practice.</w:t>
      </w:r>
    </w:p>
    <w:p w14:paraId="5D7F8676" w14:textId="77777777" w:rsidR="00C9097F" w:rsidRDefault="00000000">
      <w:pPr>
        <w:pStyle w:val="Heading2"/>
      </w:pPr>
      <w:r>
        <w:t>Primary Measures Include:</w:t>
      </w:r>
    </w:p>
    <w:p w14:paraId="00563703" w14:textId="77777777" w:rsidR="00C9097F" w:rsidRDefault="00000000">
      <w:pPr>
        <w:pStyle w:val="ListParagraph"/>
        <w:numPr>
          <w:ilvl w:val="0"/>
          <w:numId w:val="2"/>
        </w:numPr>
        <w:spacing w:after="80" w:line="280" w:lineRule="auto"/>
      </w:pPr>
      <w:r>
        <w:t>Clinical Observation Instrument (University Supervisors and Cooperating Teachers)</w:t>
      </w:r>
    </w:p>
    <w:p w14:paraId="06890EEA" w14:textId="77777777" w:rsidR="00C9097F" w:rsidRDefault="00000000">
      <w:pPr>
        <w:pStyle w:val="ListParagraph"/>
        <w:numPr>
          <w:ilvl w:val="0"/>
          <w:numId w:val="2"/>
        </w:numPr>
        <w:spacing w:after="80" w:line="280" w:lineRule="auto"/>
      </w:pPr>
      <w:r>
        <w:t>Teacher Candidate Work Sample (TWS)</w:t>
      </w:r>
    </w:p>
    <w:p w14:paraId="530DC98D" w14:textId="77777777" w:rsidR="00C9097F" w:rsidRDefault="00000000">
      <w:pPr>
        <w:pStyle w:val="ListParagraph"/>
        <w:numPr>
          <w:ilvl w:val="0"/>
          <w:numId w:val="2"/>
        </w:numPr>
        <w:spacing w:after="80" w:line="280" w:lineRule="auto"/>
      </w:pPr>
      <w:r>
        <w:t>Electronic Portfolio (E-Portfolio)</w:t>
      </w:r>
    </w:p>
    <w:p w14:paraId="52FA0451" w14:textId="77777777" w:rsidR="00C9097F" w:rsidRDefault="00000000">
      <w:pPr>
        <w:pStyle w:val="ListParagraph"/>
        <w:numPr>
          <w:ilvl w:val="0"/>
          <w:numId w:val="2"/>
        </w:numPr>
        <w:spacing w:after="80" w:line="280" w:lineRule="auto"/>
      </w:pPr>
      <w:r>
        <w:t>Cooperating Teacher Evaluations</w:t>
      </w:r>
    </w:p>
    <w:p w14:paraId="5C84862B" w14:textId="77777777" w:rsidR="00C9097F" w:rsidRDefault="00000000">
      <w:pPr>
        <w:pStyle w:val="ListParagraph"/>
        <w:numPr>
          <w:ilvl w:val="0"/>
          <w:numId w:val="2"/>
        </w:numPr>
        <w:spacing w:after="80" w:line="280" w:lineRule="auto"/>
      </w:pPr>
      <w:r>
        <w:t>Professional Dispositions and Professionalism Assessments</w:t>
      </w:r>
    </w:p>
    <w:p w14:paraId="631C0B4B" w14:textId="77777777" w:rsidR="00C9097F" w:rsidRDefault="00C9097F">
      <w:pPr>
        <w:spacing w:after="120"/>
      </w:pPr>
    </w:p>
    <w:p w14:paraId="45EA16C2" w14:textId="77777777" w:rsidR="00C9097F" w:rsidRDefault="00000000">
      <w:pPr>
        <w:spacing w:after="160" w:line="300" w:lineRule="auto"/>
        <w:jc w:val="both"/>
      </w:pPr>
      <w:r>
        <w:t>The Clinical Observation Instrument includes multiple performance indicators aligned with InTASC standards and is implemented several times throughout the semester by trained university supervisors. The instrument uses a four-level performance scale:</w:t>
      </w:r>
    </w:p>
    <w:p w14:paraId="4077FA80" w14:textId="77777777" w:rsidR="00C9097F" w:rsidRDefault="00000000">
      <w:pPr>
        <w:pStyle w:val="ListParagraph"/>
        <w:numPr>
          <w:ilvl w:val="0"/>
          <w:numId w:val="2"/>
        </w:numPr>
        <w:spacing w:after="80" w:line="280" w:lineRule="auto"/>
      </w:pPr>
      <w:r>
        <w:t>1 = Emerging</w:t>
      </w:r>
    </w:p>
    <w:p w14:paraId="55D1DB2A" w14:textId="77777777" w:rsidR="00C9097F" w:rsidRDefault="00000000">
      <w:pPr>
        <w:pStyle w:val="ListParagraph"/>
        <w:numPr>
          <w:ilvl w:val="0"/>
          <w:numId w:val="2"/>
        </w:numPr>
        <w:spacing w:after="80" w:line="280" w:lineRule="auto"/>
      </w:pPr>
      <w:r>
        <w:t>2 = Developing</w:t>
      </w:r>
    </w:p>
    <w:p w14:paraId="6ED1ABDA" w14:textId="77777777" w:rsidR="00C9097F" w:rsidRDefault="00000000">
      <w:pPr>
        <w:pStyle w:val="ListParagraph"/>
        <w:numPr>
          <w:ilvl w:val="0"/>
          <w:numId w:val="2"/>
        </w:numPr>
        <w:spacing w:after="80" w:line="280" w:lineRule="auto"/>
      </w:pPr>
      <w:r>
        <w:t>3 = Competent</w:t>
      </w:r>
    </w:p>
    <w:p w14:paraId="7CBAC2FA" w14:textId="77777777" w:rsidR="00C9097F" w:rsidRDefault="00000000">
      <w:pPr>
        <w:pStyle w:val="ListParagraph"/>
        <w:numPr>
          <w:ilvl w:val="0"/>
          <w:numId w:val="2"/>
        </w:numPr>
        <w:spacing w:after="80" w:line="280" w:lineRule="auto"/>
      </w:pPr>
      <w:r>
        <w:lastRenderedPageBreak/>
        <w:t>4 = Exemplary</w:t>
      </w:r>
    </w:p>
    <w:p w14:paraId="23D6E988" w14:textId="77777777" w:rsidR="00C9097F" w:rsidRDefault="00C9097F">
      <w:pPr>
        <w:spacing w:after="120"/>
      </w:pPr>
    </w:p>
    <w:p w14:paraId="06C9D1DD" w14:textId="77777777" w:rsidR="00C9097F" w:rsidRDefault="00000000">
      <w:pPr>
        <w:spacing w:after="160" w:line="300" w:lineRule="auto"/>
        <w:jc w:val="both"/>
      </w:pPr>
      <w:r>
        <w:t>The instrument is currently undergoing systematic validation and reliability processes in collaboration with external partners (BranchED) to ensure technical quality and consistency.</w:t>
      </w:r>
    </w:p>
    <w:p w14:paraId="0784BB65" w14:textId="77777777" w:rsidR="00C9097F" w:rsidRDefault="00000000">
      <w:pPr>
        <w:pStyle w:val="Heading1"/>
      </w:pPr>
      <w:r>
        <w:t>Data Summary</w:t>
      </w:r>
    </w:p>
    <w:p w14:paraId="5390D08D" w14:textId="77777777" w:rsidR="000B367C" w:rsidRPr="000B367C" w:rsidRDefault="000B367C" w:rsidP="000B367C">
      <w:pPr>
        <w:spacing w:before="100" w:beforeAutospacing="1" w:after="100" w:afterAutospacing="1"/>
        <w:rPr>
          <w:rFonts w:eastAsia="Times New Roman"/>
        </w:rPr>
      </w:pPr>
      <w:r w:rsidRPr="000B367C">
        <w:rPr>
          <w:rFonts w:eastAsia="Times New Roman"/>
        </w:rPr>
        <w:t xml:space="preserve">Data were compiled and analyzed across </w:t>
      </w:r>
      <w:r w:rsidRPr="000B367C">
        <w:rPr>
          <w:rFonts w:eastAsia="Times New Roman"/>
          <w:b/>
          <w:bCs/>
        </w:rPr>
        <w:t>30 candidates</w:t>
      </w:r>
      <w:r w:rsidRPr="000B367C">
        <w:rPr>
          <w:rFonts w:eastAsia="Times New Roman"/>
        </w:rPr>
        <w:t xml:space="preserve"> completing the clinical experience and evaluated by </w:t>
      </w:r>
      <w:r w:rsidRPr="000B367C">
        <w:rPr>
          <w:rFonts w:eastAsia="Times New Roman"/>
          <w:b/>
          <w:bCs/>
        </w:rPr>
        <w:t>11 university supervisors</w:t>
      </w:r>
      <w:r w:rsidRPr="000B367C">
        <w:rPr>
          <w:rFonts w:eastAsia="Times New Roman"/>
        </w:rPr>
        <w:t>, in addition to cooperating teachers and multiple performance-based assessments. This dataset represents a comprehensive and diverse sample of program completers across content areas.</w:t>
      </w:r>
    </w:p>
    <w:p w14:paraId="759D8716" w14:textId="77777777" w:rsidR="000B367C" w:rsidRPr="000B367C" w:rsidRDefault="000B367C" w:rsidP="000B367C">
      <w:pPr>
        <w:spacing w:before="100" w:beforeAutospacing="1" w:after="100" w:afterAutospacing="1"/>
        <w:rPr>
          <w:rFonts w:eastAsia="Times New Roman"/>
        </w:rPr>
      </w:pPr>
      <w:r w:rsidRPr="000B367C">
        <w:rPr>
          <w:rFonts w:eastAsia="Times New Roman"/>
        </w:rPr>
        <w:t>Analysis of candidate performance across all measures indicates that:</w:t>
      </w:r>
    </w:p>
    <w:p w14:paraId="37545D57" w14:textId="77777777" w:rsidR="000B367C" w:rsidRPr="000B367C" w:rsidRDefault="000B367C" w:rsidP="000B367C">
      <w:pPr>
        <w:numPr>
          <w:ilvl w:val="0"/>
          <w:numId w:val="3"/>
        </w:numPr>
        <w:spacing w:before="100" w:beforeAutospacing="1" w:after="100" w:afterAutospacing="1"/>
        <w:rPr>
          <w:rFonts w:eastAsia="Times New Roman"/>
        </w:rPr>
      </w:pPr>
      <w:r w:rsidRPr="000B367C">
        <w:rPr>
          <w:rFonts w:eastAsia="Times New Roman"/>
        </w:rPr>
        <w:t xml:space="preserve">Candidates consistently perform at the “Competent” (Level 3) and “Exemplary” (Level 4) levels </w:t>
      </w:r>
    </w:p>
    <w:p w14:paraId="3A8DA04F" w14:textId="77777777" w:rsidR="000B367C" w:rsidRPr="000B367C" w:rsidRDefault="000B367C" w:rsidP="000B367C">
      <w:pPr>
        <w:numPr>
          <w:ilvl w:val="0"/>
          <w:numId w:val="3"/>
        </w:numPr>
        <w:spacing w:before="100" w:beforeAutospacing="1" w:after="100" w:afterAutospacing="1"/>
        <w:rPr>
          <w:rFonts w:eastAsia="Times New Roman"/>
        </w:rPr>
      </w:pPr>
      <w:r w:rsidRPr="000B367C">
        <w:rPr>
          <w:rFonts w:eastAsia="Times New Roman"/>
        </w:rPr>
        <w:t>Overall performance reflects high</w:t>
      </w:r>
      <w:r w:rsidRPr="000B367C">
        <w:rPr>
          <w:rFonts w:eastAsia="Times New Roman"/>
          <w:b/>
          <w:bCs/>
        </w:rPr>
        <w:t xml:space="preserve"> </w:t>
      </w:r>
      <w:r w:rsidRPr="000B367C">
        <w:rPr>
          <w:rFonts w:eastAsia="Times New Roman"/>
        </w:rPr>
        <w:t>levels</w:t>
      </w:r>
      <w:r w:rsidRPr="000B367C">
        <w:rPr>
          <w:rFonts w:eastAsia="Times New Roman"/>
          <w:b/>
          <w:bCs/>
        </w:rPr>
        <w:t xml:space="preserve"> </w:t>
      </w:r>
      <w:r w:rsidRPr="000B367C">
        <w:rPr>
          <w:rFonts w:eastAsia="Times New Roman"/>
        </w:rPr>
        <w:t>of</w:t>
      </w:r>
      <w:r w:rsidRPr="000B367C">
        <w:rPr>
          <w:rFonts w:eastAsia="Times New Roman"/>
          <w:b/>
          <w:bCs/>
        </w:rPr>
        <w:t xml:space="preserve"> </w:t>
      </w:r>
      <w:r w:rsidRPr="000B367C">
        <w:rPr>
          <w:rFonts w:eastAsia="Times New Roman"/>
        </w:rPr>
        <w:t>readiness</w:t>
      </w:r>
      <w:r w:rsidRPr="000B367C">
        <w:rPr>
          <w:rFonts w:eastAsia="Times New Roman"/>
          <w:b/>
          <w:bCs/>
        </w:rPr>
        <w:t xml:space="preserve"> </w:t>
      </w:r>
      <w:r w:rsidRPr="000B367C">
        <w:rPr>
          <w:rFonts w:eastAsia="Times New Roman"/>
        </w:rPr>
        <w:t>for</w:t>
      </w:r>
      <w:r w:rsidRPr="000B367C">
        <w:rPr>
          <w:rFonts w:eastAsia="Times New Roman"/>
          <w:b/>
          <w:bCs/>
        </w:rPr>
        <w:t xml:space="preserve"> </w:t>
      </w:r>
      <w:r w:rsidRPr="000B367C">
        <w:rPr>
          <w:rFonts w:eastAsia="Times New Roman"/>
        </w:rPr>
        <w:t>professional</w:t>
      </w:r>
      <w:r w:rsidRPr="000B367C">
        <w:rPr>
          <w:rFonts w:eastAsia="Times New Roman"/>
          <w:b/>
          <w:bCs/>
        </w:rPr>
        <w:t xml:space="preserve"> </w:t>
      </w:r>
      <w:r w:rsidRPr="000B367C">
        <w:rPr>
          <w:rFonts w:eastAsia="Times New Roman"/>
        </w:rPr>
        <w:t xml:space="preserve">practice </w:t>
      </w:r>
    </w:p>
    <w:p w14:paraId="664BB809" w14:textId="77777777" w:rsidR="000B367C" w:rsidRPr="000B367C" w:rsidRDefault="000B367C" w:rsidP="000B367C">
      <w:pPr>
        <w:numPr>
          <w:ilvl w:val="0"/>
          <w:numId w:val="3"/>
        </w:numPr>
        <w:spacing w:before="100" w:beforeAutospacing="1" w:after="100" w:afterAutospacing="1"/>
        <w:rPr>
          <w:rFonts w:eastAsia="Times New Roman"/>
        </w:rPr>
      </w:pPr>
      <w:r w:rsidRPr="000B367C">
        <w:rPr>
          <w:rFonts w:eastAsia="Times New Roman"/>
        </w:rPr>
        <w:t>Performance across measures consistently falls within the proficient</w:t>
      </w:r>
      <w:r w:rsidRPr="000B367C">
        <w:rPr>
          <w:rFonts w:eastAsia="Times New Roman"/>
          <w:b/>
          <w:bCs/>
        </w:rPr>
        <w:t xml:space="preserve"> </w:t>
      </w:r>
      <w:r w:rsidRPr="000B367C">
        <w:rPr>
          <w:rFonts w:eastAsia="Times New Roman"/>
        </w:rPr>
        <w:t xml:space="preserve">range </w:t>
      </w:r>
    </w:p>
    <w:p w14:paraId="01E01A19" w14:textId="77777777" w:rsidR="000B367C" w:rsidRPr="000B367C" w:rsidRDefault="000B367C" w:rsidP="000B367C">
      <w:pPr>
        <w:numPr>
          <w:ilvl w:val="0"/>
          <w:numId w:val="3"/>
        </w:numPr>
        <w:spacing w:before="100" w:beforeAutospacing="1" w:after="100" w:afterAutospacing="1"/>
        <w:rPr>
          <w:rFonts w:eastAsia="Times New Roman"/>
        </w:rPr>
      </w:pPr>
      <w:r w:rsidRPr="000B367C">
        <w:rPr>
          <w:rFonts w:eastAsia="Times New Roman"/>
        </w:rPr>
        <w:t xml:space="preserve">Results are consistent across: </w:t>
      </w:r>
    </w:p>
    <w:p w14:paraId="0D55E8FB" w14:textId="77777777" w:rsidR="000B367C" w:rsidRPr="000B367C" w:rsidRDefault="000B367C" w:rsidP="000B367C">
      <w:pPr>
        <w:numPr>
          <w:ilvl w:val="1"/>
          <w:numId w:val="3"/>
        </w:numPr>
        <w:spacing w:before="100" w:beforeAutospacing="1" w:after="100" w:afterAutospacing="1"/>
        <w:rPr>
          <w:rFonts w:eastAsia="Times New Roman"/>
        </w:rPr>
      </w:pPr>
      <w:r w:rsidRPr="000B367C">
        <w:rPr>
          <w:rFonts w:eastAsia="Times New Roman"/>
        </w:rPr>
        <w:t xml:space="preserve">Clinical observations </w:t>
      </w:r>
    </w:p>
    <w:p w14:paraId="33D7ABFF" w14:textId="77777777" w:rsidR="000B367C" w:rsidRPr="000B367C" w:rsidRDefault="000B367C" w:rsidP="000B367C">
      <w:pPr>
        <w:numPr>
          <w:ilvl w:val="1"/>
          <w:numId w:val="3"/>
        </w:numPr>
        <w:spacing w:before="100" w:beforeAutospacing="1" w:after="100" w:afterAutospacing="1"/>
        <w:rPr>
          <w:rFonts w:eastAsia="Times New Roman"/>
        </w:rPr>
      </w:pPr>
      <w:r w:rsidRPr="000B367C">
        <w:rPr>
          <w:rFonts w:eastAsia="Times New Roman"/>
        </w:rPr>
        <w:t xml:space="preserve">Work samples </w:t>
      </w:r>
    </w:p>
    <w:p w14:paraId="73EE12B1" w14:textId="77777777" w:rsidR="000B367C" w:rsidRPr="000B367C" w:rsidRDefault="000B367C" w:rsidP="000B367C">
      <w:pPr>
        <w:numPr>
          <w:ilvl w:val="1"/>
          <w:numId w:val="3"/>
        </w:numPr>
        <w:spacing w:before="100" w:beforeAutospacing="1" w:after="100" w:afterAutospacing="1"/>
        <w:rPr>
          <w:rFonts w:eastAsia="Times New Roman"/>
        </w:rPr>
      </w:pPr>
      <w:r w:rsidRPr="000B367C">
        <w:rPr>
          <w:rFonts w:eastAsia="Times New Roman"/>
        </w:rPr>
        <w:t xml:space="preserve">Portfolio artifacts </w:t>
      </w:r>
    </w:p>
    <w:p w14:paraId="0F5002AF" w14:textId="77777777" w:rsidR="000B367C" w:rsidRPr="000B367C" w:rsidRDefault="000B367C" w:rsidP="000B367C">
      <w:pPr>
        <w:numPr>
          <w:ilvl w:val="1"/>
          <w:numId w:val="3"/>
        </w:numPr>
        <w:spacing w:before="100" w:beforeAutospacing="1" w:after="100" w:afterAutospacing="1"/>
        <w:rPr>
          <w:rFonts w:eastAsia="Times New Roman"/>
        </w:rPr>
      </w:pPr>
      <w:r w:rsidRPr="000B367C">
        <w:rPr>
          <w:rFonts w:eastAsia="Times New Roman"/>
        </w:rPr>
        <w:t xml:space="preserve">Supervisor and cooperating teacher evaluations </w:t>
      </w:r>
    </w:p>
    <w:p w14:paraId="339E1142" w14:textId="2AFC428A" w:rsidR="00A5554D" w:rsidRDefault="000B367C" w:rsidP="000B367C">
      <w:pPr>
        <w:spacing w:before="100" w:beforeAutospacing="1" w:after="100" w:afterAutospacing="1"/>
        <w:rPr>
          <w:rFonts w:eastAsia="Times New Roman"/>
        </w:rPr>
      </w:pPr>
      <w:r w:rsidRPr="000B367C">
        <w:rPr>
          <w:rFonts w:eastAsia="Times New Roman"/>
        </w:rPr>
        <w:t>The inclusion of multiple evaluators and candidates across different content areas strengthens the representativeness</w:t>
      </w:r>
      <w:r w:rsidRPr="000B367C">
        <w:rPr>
          <w:rFonts w:eastAsia="Times New Roman"/>
          <w:b/>
          <w:bCs/>
        </w:rPr>
        <w:t xml:space="preserve"> </w:t>
      </w:r>
      <w:r w:rsidRPr="000B367C">
        <w:rPr>
          <w:rFonts w:eastAsia="Times New Roman"/>
        </w:rPr>
        <w:t>and</w:t>
      </w:r>
      <w:r w:rsidRPr="000B367C">
        <w:rPr>
          <w:rFonts w:eastAsia="Times New Roman"/>
          <w:b/>
          <w:bCs/>
        </w:rPr>
        <w:t xml:space="preserve"> </w:t>
      </w:r>
      <w:r w:rsidRPr="000B367C">
        <w:rPr>
          <w:rFonts w:eastAsia="Times New Roman"/>
        </w:rPr>
        <w:t>credibility of the findings.</w:t>
      </w:r>
    </w:p>
    <w:p w14:paraId="5AB6D1A3" w14:textId="4821E25B" w:rsidR="00A5554D" w:rsidRPr="00A5554D" w:rsidRDefault="00A5554D" w:rsidP="000B367C">
      <w:pPr>
        <w:spacing w:before="100" w:beforeAutospacing="1" w:after="100" w:afterAutospacing="1"/>
        <w:rPr>
          <w:rFonts w:eastAsia="Times New Roman"/>
          <w:b/>
          <w:bCs/>
        </w:rPr>
      </w:pPr>
      <w:r w:rsidRPr="00A5554D">
        <w:rPr>
          <w:rFonts w:eastAsia="Times New Roman"/>
          <w:b/>
          <w:bCs/>
        </w:rPr>
        <w:t>Table</w:t>
      </w:r>
      <w:r w:rsidR="008F3B4A">
        <w:rPr>
          <w:rFonts w:eastAsia="Times New Roman"/>
          <w:b/>
          <w:bCs/>
        </w:rPr>
        <w:t xml:space="preserve"> 1</w:t>
      </w:r>
      <w:r w:rsidRPr="00A5554D">
        <w:rPr>
          <w:rFonts w:eastAsia="Times New Roman"/>
          <w:b/>
          <w:bCs/>
        </w:rPr>
        <w:t>. Summary of Candidate Performance at Program Completion</w:t>
      </w:r>
    </w:p>
    <w:tbl>
      <w:tblPr>
        <w:tblStyle w:val="GridTable4-Accent1"/>
        <w:tblW w:w="0" w:type="auto"/>
        <w:tblLook w:val="04A0" w:firstRow="1" w:lastRow="0" w:firstColumn="1" w:lastColumn="0" w:noHBand="0" w:noVBand="1"/>
      </w:tblPr>
      <w:tblGrid>
        <w:gridCol w:w="4675"/>
        <w:gridCol w:w="4675"/>
      </w:tblGrid>
      <w:tr w:rsidR="00A5554D" w14:paraId="4240D868" w14:textId="77777777" w:rsidTr="00A555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125492" w14:textId="45F8B173" w:rsidR="00A5554D" w:rsidRDefault="00A5554D" w:rsidP="000B367C">
            <w:pPr>
              <w:spacing w:before="100" w:beforeAutospacing="1" w:after="100" w:afterAutospacing="1"/>
              <w:rPr>
                <w:rFonts w:eastAsia="Times New Roman"/>
              </w:rPr>
            </w:pPr>
            <w:r>
              <w:rPr>
                <w:rFonts w:eastAsia="Times New Roman"/>
              </w:rPr>
              <w:t>Indicator</w:t>
            </w:r>
          </w:p>
        </w:tc>
        <w:tc>
          <w:tcPr>
            <w:tcW w:w="4675" w:type="dxa"/>
          </w:tcPr>
          <w:p w14:paraId="03432721" w14:textId="60FD2996" w:rsidR="00A5554D" w:rsidRDefault="00A5554D" w:rsidP="000B367C">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rPr>
            </w:pPr>
            <w:r>
              <w:rPr>
                <w:rFonts w:eastAsia="Times New Roman"/>
              </w:rPr>
              <w:t>Summary Finding</w:t>
            </w:r>
          </w:p>
        </w:tc>
      </w:tr>
      <w:tr w:rsidR="00A5554D" w14:paraId="0B6EF3B8" w14:textId="77777777" w:rsidTr="00A55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CBAE932" w14:textId="6CEA492C" w:rsidR="00A5554D" w:rsidRDefault="00A5554D" w:rsidP="000B367C">
            <w:pPr>
              <w:spacing w:before="100" w:beforeAutospacing="1" w:after="100" w:afterAutospacing="1"/>
              <w:rPr>
                <w:rFonts w:eastAsia="Times New Roman"/>
              </w:rPr>
            </w:pPr>
            <w:r>
              <w:rPr>
                <w:rFonts w:eastAsia="Times New Roman"/>
              </w:rPr>
              <w:t>Number of Candidates</w:t>
            </w:r>
          </w:p>
        </w:tc>
        <w:tc>
          <w:tcPr>
            <w:tcW w:w="4675" w:type="dxa"/>
          </w:tcPr>
          <w:p w14:paraId="399104B9" w14:textId="49C62CC6" w:rsidR="00A5554D" w:rsidRDefault="00A5554D" w:rsidP="000B367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30</w:t>
            </w:r>
          </w:p>
        </w:tc>
      </w:tr>
      <w:tr w:rsidR="00A5554D" w14:paraId="58D4EA85" w14:textId="77777777" w:rsidTr="00A5554D">
        <w:tc>
          <w:tcPr>
            <w:cnfStyle w:val="001000000000" w:firstRow="0" w:lastRow="0" w:firstColumn="1" w:lastColumn="0" w:oddVBand="0" w:evenVBand="0" w:oddHBand="0" w:evenHBand="0" w:firstRowFirstColumn="0" w:firstRowLastColumn="0" w:lastRowFirstColumn="0" w:lastRowLastColumn="0"/>
            <w:tcW w:w="4675" w:type="dxa"/>
          </w:tcPr>
          <w:p w14:paraId="3A888A66" w14:textId="5B3B5BE2" w:rsidR="00A5554D" w:rsidRDefault="00A5554D" w:rsidP="000B367C">
            <w:pPr>
              <w:spacing w:before="100" w:beforeAutospacing="1" w:after="100" w:afterAutospacing="1"/>
              <w:rPr>
                <w:rFonts w:eastAsia="Times New Roman"/>
              </w:rPr>
            </w:pPr>
            <w:r>
              <w:rPr>
                <w:rFonts w:eastAsia="Times New Roman"/>
              </w:rPr>
              <w:t>Number of Supervisors</w:t>
            </w:r>
          </w:p>
        </w:tc>
        <w:tc>
          <w:tcPr>
            <w:tcW w:w="4675" w:type="dxa"/>
          </w:tcPr>
          <w:p w14:paraId="23323982" w14:textId="75BDC984" w:rsidR="00A5554D" w:rsidRDefault="00A5554D" w:rsidP="000B367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11</w:t>
            </w:r>
          </w:p>
        </w:tc>
      </w:tr>
      <w:tr w:rsidR="00A5554D" w14:paraId="2DB6D092" w14:textId="77777777" w:rsidTr="00A55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35D64A" w14:textId="0F796261" w:rsidR="00A5554D" w:rsidRDefault="00A5554D" w:rsidP="000B367C">
            <w:pPr>
              <w:spacing w:before="100" w:beforeAutospacing="1" w:after="100" w:afterAutospacing="1"/>
              <w:rPr>
                <w:rFonts w:eastAsia="Times New Roman"/>
              </w:rPr>
            </w:pPr>
            <w:r>
              <w:rPr>
                <w:rFonts w:eastAsia="Times New Roman"/>
              </w:rPr>
              <w:t>Performance Level</w:t>
            </w:r>
          </w:p>
        </w:tc>
        <w:tc>
          <w:tcPr>
            <w:tcW w:w="4675" w:type="dxa"/>
          </w:tcPr>
          <w:p w14:paraId="5B6ADD40" w14:textId="562DA2C2" w:rsidR="00A5554D" w:rsidRDefault="00A5554D" w:rsidP="00A5554D">
            <w:pPr>
              <w:tabs>
                <w:tab w:val="left" w:pos="1713"/>
              </w:tabs>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rPr>
            </w:pPr>
            <w:r>
              <w:t>Majority at Level 3 (Competent) and Level 4 (Exemplary)</w:t>
            </w:r>
          </w:p>
        </w:tc>
      </w:tr>
      <w:tr w:rsidR="00A5554D" w14:paraId="4E83D2E1" w14:textId="77777777" w:rsidTr="00A5554D">
        <w:tc>
          <w:tcPr>
            <w:cnfStyle w:val="001000000000" w:firstRow="0" w:lastRow="0" w:firstColumn="1" w:lastColumn="0" w:oddVBand="0" w:evenVBand="0" w:oddHBand="0" w:evenHBand="0" w:firstRowFirstColumn="0" w:firstRowLastColumn="0" w:lastRowFirstColumn="0" w:lastRowLastColumn="0"/>
            <w:tcW w:w="4675" w:type="dxa"/>
          </w:tcPr>
          <w:p w14:paraId="596C2F3A" w14:textId="2A56AFAC" w:rsidR="00A5554D" w:rsidRDefault="00A5554D" w:rsidP="000B367C">
            <w:pPr>
              <w:spacing w:before="100" w:beforeAutospacing="1" w:after="100" w:afterAutospacing="1"/>
              <w:rPr>
                <w:rFonts w:eastAsia="Times New Roman"/>
              </w:rPr>
            </w:pPr>
            <w:r>
              <w:t>Clinical Observations</w:t>
            </w:r>
          </w:p>
        </w:tc>
        <w:tc>
          <w:tcPr>
            <w:tcW w:w="4675" w:type="dxa"/>
          </w:tcPr>
          <w:p w14:paraId="265CBB22" w14:textId="3B341CF9" w:rsidR="00A5554D" w:rsidRDefault="00A5554D" w:rsidP="000B367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rPr>
            </w:pPr>
            <w:r>
              <w:t>Consistent proficiency across evaluations</w:t>
            </w:r>
          </w:p>
        </w:tc>
      </w:tr>
      <w:tr w:rsidR="00A5554D" w14:paraId="582212D4" w14:textId="77777777" w:rsidTr="00A55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23DDF2D" w14:textId="02FD00EC" w:rsidR="00A5554D" w:rsidRDefault="00A5554D" w:rsidP="000B367C">
            <w:pPr>
              <w:spacing w:before="100" w:beforeAutospacing="1" w:after="100" w:afterAutospacing="1"/>
              <w:rPr>
                <w:rFonts w:eastAsia="Times New Roman"/>
              </w:rPr>
            </w:pPr>
            <w:r>
              <w:t>Teacher Work Sample</w:t>
            </w:r>
          </w:p>
        </w:tc>
        <w:tc>
          <w:tcPr>
            <w:tcW w:w="4675" w:type="dxa"/>
          </w:tcPr>
          <w:p w14:paraId="0AA7883C" w14:textId="102A0EF2" w:rsidR="00A5554D" w:rsidRDefault="00A5554D" w:rsidP="000B367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rPr>
            </w:pPr>
            <w:r>
              <w:t>High performance demonstrating impact on student learning</w:t>
            </w:r>
          </w:p>
        </w:tc>
      </w:tr>
      <w:tr w:rsidR="00A5554D" w14:paraId="33A57888" w14:textId="77777777" w:rsidTr="00A5554D">
        <w:tc>
          <w:tcPr>
            <w:cnfStyle w:val="001000000000" w:firstRow="0" w:lastRow="0" w:firstColumn="1" w:lastColumn="0" w:oddVBand="0" w:evenVBand="0" w:oddHBand="0" w:evenHBand="0" w:firstRowFirstColumn="0" w:firstRowLastColumn="0" w:lastRowFirstColumn="0" w:lastRowLastColumn="0"/>
            <w:tcW w:w="4675" w:type="dxa"/>
          </w:tcPr>
          <w:p w14:paraId="2E392F3A" w14:textId="3F1AA4C6" w:rsidR="00A5554D" w:rsidRDefault="00A5554D" w:rsidP="000B367C">
            <w:pPr>
              <w:spacing w:before="100" w:beforeAutospacing="1" w:after="100" w:afterAutospacing="1"/>
              <w:rPr>
                <w:rFonts w:eastAsia="Times New Roman"/>
              </w:rPr>
            </w:pPr>
            <w:r>
              <w:t>Portfolio</w:t>
            </w:r>
          </w:p>
        </w:tc>
        <w:tc>
          <w:tcPr>
            <w:tcW w:w="4675" w:type="dxa"/>
          </w:tcPr>
          <w:p w14:paraId="62D5803C" w14:textId="29780EDB" w:rsidR="00A5554D" w:rsidRDefault="00A5554D" w:rsidP="000B367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rPr>
            </w:pPr>
            <w:r>
              <w:t>Strong evidence of planning, assessment, and reflection</w:t>
            </w:r>
          </w:p>
        </w:tc>
      </w:tr>
      <w:tr w:rsidR="00A5554D" w14:paraId="0C15D2CD" w14:textId="77777777" w:rsidTr="00A55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E0DC11C" w14:textId="091B68C1" w:rsidR="00A5554D" w:rsidRDefault="00A5554D" w:rsidP="000B367C">
            <w:pPr>
              <w:spacing w:before="100" w:beforeAutospacing="1" w:after="100" w:afterAutospacing="1"/>
              <w:rPr>
                <w:rFonts w:eastAsia="Times New Roman"/>
              </w:rPr>
            </w:pPr>
            <w:r>
              <w:t>Overall Trend</w:t>
            </w:r>
          </w:p>
        </w:tc>
        <w:tc>
          <w:tcPr>
            <w:tcW w:w="4675" w:type="dxa"/>
          </w:tcPr>
          <w:p w14:paraId="20B648DC" w14:textId="0F5A3695" w:rsidR="00A5554D" w:rsidRDefault="00A5554D" w:rsidP="000B367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rPr>
            </w:pPr>
            <w:r>
              <w:t>Candidates meet or exceed program expectations</w:t>
            </w:r>
          </w:p>
        </w:tc>
      </w:tr>
    </w:tbl>
    <w:p w14:paraId="231CF630" w14:textId="5800F2B4" w:rsidR="00A5554D" w:rsidRPr="000B367C" w:rsidRDefault="003A2070" w:rsidP="000B367C">
      <w:pPr>
        <w:spacing w:before="100" w:beforeAutospacing="1" w:after="100" w:afterAutospacing="1"/>
        <w:rPr>
          <w:rFonts w:eastAsia="Times New Roman"/>
        </w:rPr>
      </w:pPr>
      <w:r>
        <w:t>These findings reflect aggregated results derived from individual candidate performance data and multiple evaluators.</w:t>
      </w:r>
    </w:p>
    <w:p w14:paraId="7B64FF99" w14:textId="77777777" w:rsidR="00C9097F" w:rsidRDefault="00C9097F">
      <w:pPr>
        <w:spacing w:after="120"/>
      </w:pPr>
    </w:p>
    <w:p w14:paraId="7FE4018A" w14:textId="77777777" w:rsidR="00C9097F" w:rsidRDefault="00000000">
      <w:pPr>
        <w:pStyle w:val="Heading1"/>
      </w:pPr>
      <w:r>
        <w:lastRenderedPageBreak/>
        <w:t>Cross-Supervisor Analysis</w:t>
      </w:r>
    </w:p>
    <w:p w14:paraId="34A7518B" w14:textId="795B0AD2" w:rsidR="000B367C" w:rsidRPr="000B367C" w:rsidRDefault="000B367C" w:rsidP="000B367C">
      <w:pPr>
        <w:pStyle w:val="NormalWeb"/>
        <w:rPr>
          <w:rFonts w:ascii="Calibri" w:hAnsi="Calibri" w:cs="Calibri"/>
          <w:sz w:val="22"/>
          <w:szCs w:val="22"/>
        </w:rPr>
      </w:pPr>
      <w:r w:rsidRPr="000B367C">
        <w:rPr>
          <w:rFonts w:ascii="Calibri" w:hAnsi="Calibri" w:cs="Calibri"/>
          <w:sz w:val="22"/>
          <w:szCs w:val="22"/>
        </w:rPr>
        <w:t>Clinical observation data were analyzed across 11 university supervisors to examine candidate performance and scoring patterns.</w:t>
      </w:r>
    </w:p>
    <w:p w14:paraId="11F01485" w14:textId="77777777" w:rsidR="000B367C" w:rsidRPr="000B367C" w:rsidRDefault="000B367C" w:rsidP="000B367C">
      <w:pPr>
        <w:spacing w:before="100" w:beforeAutospacing="1" w:after="100" w:afterAutospacing="1"/>
        <w:rPr>
          <w:rFonts w:eastAsia="Times New Roman"/>
        </w:rPr>
      </w:pPr>
      <w:r w:rsidRPr="000B367C">
        <w:rPr>
          <w:rFonts w:eastAsia="Times New Roman"/>
        </w:rPr>
        <w:t>Findings indicate that:</w:t>
      </w:r>
    </w:p>
    <w:p w14:paraId="424FEFAF" w14:textId="77777777" w:rsidR="000B367C" w:rsidRPr="000B367C" w:rsidRDefault="000B367C" w:rsidP="000B367C">
      <w:pPr>
        <w:numPr>
          <w:ilvl w:val="0"/>
          <w:numId w:val="4"/>
        </w:numPr>
        <w:spacing w:before="100" w:beforeAutospacing="1" w:after="100" w:afterAutospacing="1"/>
        <w:rPr>
          <w:rFonts w:eastAsia="Times New Roman"/>
        </w:rPr>
      </w:pPr>
      <w:r w:rsidRPr="000B367C">
        <w:rPr>
          <w:rFonts w:eastAsia="Times New Roman"/>
        </w:rPr>
        <w:t xml:space="preserve">Candidates consistently demonstrated performance within the “Competent” and “Exemplary” levels </w:t>
      </w:r>
    </w:p>
    <w:p w14:paraId="0FAADD5A" w14:textId="77777777" w:rsidR="000B367C" w:rsidRPr="000B367C" w:rsidRDefault="000B367C" w:rsidP="000B367C">
      <w:pPr>
        <w:numPr>
          <w:ilvl w:val="0"/>
          <w:numId w:val="4"/>
        </w:numPr>
        <w:spacing w:before="100" w:beforeAutospacing="1" w:after="100" w:afterAutospacing="1"/>
        <w:rPr>
          <w:rFonts w:eastAsia="Times New Roman"/>
        </w:rPr>
      </w:pPr>
      <w:r w:rsidRPr="000B367C">
        <w:rPr>
          <w:rFonts w:eastAsia="Times New Roman"/>
        </w:rPr>
        <w:t xml:space="preserve">Evidence of performance differentiation was observed across indicators </w:t>
      </w:r>
    </w:p>
    <w:p w14:paraId="28FA71D4" w14:textId="77777777" w:rsidR="000B367C" w:rsidRPr="000B367C" w:rsidRDefault="000B367C" w:rsidP="000B367C">
      <w:pPr>
        <w:numPr>
          <w:ilvl w:val="0"/>
          <w:numId w:val="4"/>
        </w:numPr>
        <w:spacing w:before="100" w:beforeAutospacing="1" w:after="100" w:afterAutospacing="1"/>
        <w:rPr>
          <w:rFonts w:eastAsia="Times New Roman"/>
        </w:rPr>
      </w:pPr>
      <w:r w:rsidRPr="000B367C">
        <w:rPr>
          <w:rFonts w:eastAsia="Times New Roman"/>
        </w:rPr>
        <w:t xml:space="preserve">Variation in scoring patterns across supervisors was identified </w:t>
      </w:r>
    </w:p>
    <w:p w14:paraId="2AEDAB55" w14:textId="77777777" w:rsidR="000B367C" w:rsidRPr="000B367C" w:rsidRDefault="000B367C" w:rsidP="000B367C">
      <w:pPr>
        <w:spacing w:before="100" w:beforeAutospacing="1" w:after="100" w:afterAutospacing="1"/>
        <w:rPr>
          <w:rFonts w:ascii="Times New Roman" w:eastAsia="Times New Roman" w:hAnsi="Times New Roman" w:cs="Times New Roman"/>
          <w:sz w:val="24"/>
          <w:szCs w:val="24"/>
        </w:rPr>
      </w:pPr>
      <w:r w:rsidRPr="000B367C">
        <w:rPr>
          <w:rFonts w:eastAsia="Times New Roman"/>
        </w:rPr>
        <w:t>Specifically</w:t>
      </w:r>
      <w:r w:rsidRPr="000B367C">
        <w:rPr>
          <w:rFonts w:ascii="Times New Roman" w:eastAsia="Times New Roman" w:hAnsi="Times New Roman" w:cs="Times New Roman"/>
          <w:sz w:val="24"/>
          <w:szCs w:val="24"/>
        </w:rPr>
        <w:t>:</w:t>
      </w:r>
    </w:p>
    <w:p w14:paraId="7AD2A322" w14:textId="77777777" w:rsidR="000B367C" w:rsidRPr="000B367C" w:rsidRDefault="000B367C" w:rsidP="000B367C">
      <w:pPr>
        <w:numPr>
          <w:ilvl w:val="0"/>
          <w:numId w:val="5"/>
        </w:numPr>
        <w:spacing w:before="100" w:beforeAutospacing="1" w:after="100" w:afterAutospacing="1"/>
        <w:rPr>
          <w:rFonts w:eastAsia="Times New Roman"/>
        </w:rPr>
      </w:pPr>
      <w:r w:rsidRPr="000B367C">
        <w:rPr>
          <w:rFonts w:eastAsia="Times New Roman"/>
        </w:rPr>
        <w:t xml:space="preserve">Some supervisors demonstrated a higher concentration of “Exemplary” (Level 4) ratings </w:t>
      </w:r>
    </w:p>
    <w:p w14:paraId="7DC94596" w14:textId="77777777" w:rsidR="000B367C" w:rsidRPr="000B367C" w:rsidRDefault="000B367C" w:rsidP="000B367C">
      <w:pPr>
        <w:numPr>
          <w:ilvl w:val="0"/>
          <w:numId w:val="5"/>
        </w:numPr>
        <w:spacing w:before="100" w:beforeAutospacing="1" w:after="100" w:afterAutospacing="1"/>
        <w:rPr>
          <w:rFonts w:eastAsia="Times New Roman"/>
        </w:rPr>
      </w:pPr>
      <w:r w:rsidRPr="000B367C">
        <w:rPr>
          <w:rFonts w:eastAsia="Times New Roman"/>
        </w:rPr>
        <w:t xml:space="preserve">Others reflected more moderate scoring patterns, with a stronger presence of “Competent” (Level 3) ratings </w:t>
      </w:r>
    </w:p>
    <w:p w14:paraId="2D7F7D76" w14:textId="77777777" w:rsidR="000B367C" w:rsidRPr="000B367C" w:rsidRDefault="000B367C" w:rsidP="000B367C">
      <w:pPr>
        <w:numPr>
          <w:ilvl w:val="0"/>
          <w:numId w:val="5"/>
        </w:numPr>
        <w:spacing w:before="100" w:beforeAutospacing="1" w:after="100" w:afterAutospacing="1"/>
        <w:rPr>
          <w:rFonts w:eastAsia="Times New Roman"/>
        </w:rPr>
      </w:pPr>
      <w:r w:rsidRPr="000B367C">
        <w:rPr>
          <w:rFonts w:eastAsia="Times New Roman"/>
        </w:rPr>
        <w:t xml:space="preserve">Several supervisors demonstrated balanced distributions, indicating appropriate differentiation </w:t>
      </w:r>
    </w:p>
    <w:p w14:paraId="0EFCD5FC" w14:textId="77777777" w:rsidR="000B367C" w:rsidRPr="000B367C" w:rsidRDefault="000B367C" w:rsidP="000B367C">
      <w:pPr>
        <w:spacing w:before="100" w:beforeAutospacing="1" w:after="100" w:afterAutospacing="1"/>
        <w:rPr>
          <w:rFonts w:eastAsia="Times New Roman"/>
        </w:rPr>
      </w:pPr>
      <w:r w:rsidRPr="000B367C">
        <w:rPr>
          <w:rFonts w:eastAsia="Times New Roman"/>
        </w:rPr>
        <w:t>This variation suggests that:</w:t>
      </w:r>
    </w:p>
    <w:p w14:paraId="14A9EE47" w14:textId="77777777" w:rsidR="000B367C" w:rsidRPr="000B367C" w:rsidRDefault="000B367C" w:rsidP="000B367C">
      <w:pPr>
        <w:numPr>
          <w:ilvl w:val="0"/>
          <w:numId w:val="6"/>
        </w:numPr>
        <w:spacing w:before="100" w:beforeAutospacing="1" w:after="100" w:afterAutospacing="1"/>
        <w:rPr>
          <w:rFonts w:eastAsia="Times New Roman"/>
        </w:rPr>
      </w:pPr>
      <w:r w:rsidRPr="000B367C">
        <w:rPr>
          <w:rFonts w:eastAsia="Times New Roman"/>
        </w:rPr>
        <w:t xml:space="preserve">The instrument effectively captures differences in candidate performance </w:t>
      </w:r>
    </w:p>
    <w:p w14:paraId="5626E971" w14:textId="77777777" w:rsidR="000B367C" w:rsidRPr="000B367C" w:rsidRDefault="000B367C" w:rsidP="000B367C">
      <w:pPr>
        <w:numPr>
          <w:ilvl w:val="0"/>
          <w:numId w:val="6"/>
        </w:numPr>
        <w:spacing w:before="100" w:beforeAutospacing="1" w:after="100" w:afterAutospacing="1"/>
        <w:rPr>
          <w:rFonts w:eastAsia="Times New Roman"/>
        </w:rPr>
      </w:pPr>
      <w:r w:rsidRPr="000B367C">
        <w:rPr>
          <w:rFonts w:eastAsia="Times New Roman"/>
        </w:rPr>
        <w:t xml:space="preserve">Scoring reflects evaluator judgment and experience </w:t>
      </w:r>
    </w:p>
    <w:p w14:paraId="2DD6711D" w14:textId="77777777" w:rsidR="000B367C" w:rsidRPr="000B367C" w:rsidRDefault="000B367C" w:rsidP="000B367C">
      <w:pPr>
        <w:numPr>
          <w:ilvl w:val="0"/>
          <w:numId w:val="6"/>
        </w:numPr>
        <w:spacing w:before="100" w:beforeAutospacing="1" w:after="100" w:afterAutospacing="1"/>
        <w:rPr>
          <w:rFonts w:eastAsia="Times New Roman"/>
        </w:rPr>
      </w:pPr>
      <w:r w:rsidRPr="000B367C">
        <w:rPr>
          <w:rFonts w:eastAsia="Times New Roman"/>
        </w:rPr>
        <w:t xml:space="preserve">Continued calibration and inter-rater reliability efforts are warranted </w:t>
      </w:r>
    </w:p>
    <w:p w14:paraId="16BE2FF1" w14:textId="77777777" w:rsidR="000B367C" w:rsidRPr="000B367C" w:rsidRDefault="000B367C" w:rsidP="000B367C">
      <w:pPr>
        <w:spacing w:before="100" w:beforeAutospacing="1" w:after="100" w:afterAutospacing="1"/>
        <w:rPr>
          <w:rFonts w:eastAsia="Times New Roman"/>
        </w:rPr>
      </w:pPr>
      <w:r w:rsidRPr="000B367C">
        <w:rPr>
          <w:rFonts w:eastAsia="Times New Roman"/>
        </w:rPr>
        <w:t>The use of multiple supervisors provides a strong foundation for strengthening inter-rater reliability across evaluators.</w:t>
      </w:r>
    </w:p>
    <w:p w14:paraId="402DE1C9" w14:textId="77777777" w:rsidR="00C9097F" w:rsidRDefault="00C9097F">
      <w:pPr>
        <w:spacing w:after="120"/>
      </w:pPr>
    </w:p>
    <w:p w14:paraId="6E8B7783" w14:textId="77777777" w:rsidR="00C9097F" w:rsidRDefault="00000000">
      <w:pPr>
        <w:pStyle w:val="Heading1"/>
      </w:pPr>
      <w:r>
        <w:t>Multiple Measures of Competency</w:t>
      </w:r>
    </w:p>
    <w:p w14:paraId="7774D12D" w14:textId="77777777" w:rsidR="00C9097F" w:rsidRDefault="00000000">
      <w:pPr>
        <w:spacing w:after="160" w:line="300" w:lineRule="auto"/>
        <w:jc w:val="both"/>
      </w:pPr>
      <w:r>
        <w:t>Candidate competency is not determined by a single assessment. Instead, the EPP uses a multi-measure system to ensure a comprehensive evaluation of candidate readiness.</w:t>
      </w:r>
    </w:p>
    <w:p w14:paraId="57899D76" w14:textId="77777777" w:rsidR="00C9097F" w:rsidRDefault="00000000">
      <w:pPr>
        <w:spacing w:after="160" w:line="300" w:lineRule="auto"/>
        <w:jc w:val="both"/>
      </w:pPr>
      <w:r>
        <w:t>Analysis of candidate data demonstrates:</w:t>
      </w:r>
    </w:p>
    <w:p w14:paraId="556AAA48" w14:textId="77777777" w:rsidR="00C9097F" w:rsidRDefault="00000000">
      <w:pPr>
        <w:pStyle w:val="ListParagraph"/>
        <w:numPr>
          <w:ilvl w:val="0"/>
          <w:numId w:val="2"/>
        </w:numPr>
        <w:spacing w:after="80" w:line="280" w:lineRule="auto"/>
      </w:pPr>
      <w:r>
        <w:t>Consistency across multiple measures (clinical, instructional, and professional)</w:t>
      </w:r>
    </w:p>
    <w:p w14:paraId="78137401" w14:textId="77777777" w:rsidR="00C9097F" w:rsidRDefault="00000000">
      <w:pPr>
        <w:pStyle w:val="ListParagraph"/>
        <w:numPr>
          <w:ilvl w:val="0"/>
          <w:numId w:val="2"/>
        </w:numPr>
        <w:spacing w:after="80" w:line="280" w:lineRule="auto"/>
      </w:pPr>
      <w:r>
        <w:t>Alignment between:</w:t>
      </w:r>
    </w:p>
    <w:p w14:paraId="1D564121" w14:textId="77777777" w:rsidR="00C9097F" w:rsidRDefault="00000000">
      <w:pPr>
        <w:pStyle w:val="ListParagraph"/>
        <w:numPr>
          <w:ilvl w:val="1"/>
          <w:numId w:val="2"/>
        </w:numPr>
        <w:spacing w:after="80" w:line="280" w:lineRule="auto"/>
      </w:pPr>
      <w:r>
        <w:t>Supervisor evaluations</w:t>
      </w:r>
    </w:p>
    <w:p w14:paraId="110D3EB9" w14:textId="77777777" w:rsidR="00C9097F" w:rsidRDefault="00000000">
      <w:pPr>
        <w:pStyle w:val="ListParagraph"/>
        <w:numPr>
          <w:ilvl w:val="1"/>
          <w:numId w:val="2"/>
        </w:numPr>
        <w:spacing w:after="80" w:line="280" w:lineRule="auto"/>
      </w:pPr>
      <w:r>
        <w:t>Cooperating teacher ratings</w:t>
      </w:r>
    </w:p>
    <w:p w14:paraId="442BE75E" w14:textId="77777777" w:rsidR="00C9097F" w:rsidRDefault="00000000">
      <w:pPr>
        <w:pStyle w:val="ListParagraph"/>
        <w:numPr>
          <w:ilvl w:val="1"/>
          <w:numId w:val="2"/>
        </w:numPr>
        <w:spacing w:after="80" w:line="280" w:lineRule="auto"/>
      </w:pPr>
      <w:r>
        <w:t>Work sample performance</w:t>
      </w:r>
    </w:p>
    <w:p w14:paraId="6357E8C6" w14:textId="77777777" w:rsidR="00C9097F" w:rsidRDefault="00000000">
      <w:pPr>
        <w:pStyle w:val="ListParagraph"/>
        <w:numPr>
          <w:ilvl w:val="1"/>
          <w:numId w:val="2"/>
        </w:numPr>
        <w:spacing w:after="80" w:line="280" w:lineRule="auto"/>
      </w:pPr>
      <w:r>
        <w:t>Portfolio evidence</w:t>
      </w:r>
    </w:p>
    <w:p w14:paraId="3E89D5C9" w14:textId="77777777" w:rsidR="00C9097F" w:rsidRDefault="00C9097F">
      <w:pPr>
        <w:spacing w:after="120"/>
      </w:pPr>
    </w:p>
    <w:p w14:paraId="48DB6266" w14:textId="0494321E" w:rsidR="00C9097F" w:rsidRDefault="000B367C">
      <w:pPr>
        <w:spacing w:after="160" w:line="300" w:lineRule="auto"/>
        <w:jc w:val="both"/>
      </w:pPr>
      <w:r>
        <w:t>R</w:t>
      </w:r>
      <w:r w:rsidR="00000000">
        <w:t xml:space="preserve">epresentative </w:t>
      </w:r>
      <w:r>
        <w:t>performance patterns indicate</w:t>
      </w:r>
      <w:r w:rsidR="00000000">
        <w:t>:</w:t>
      </w:r>
    </w:p>
    <w:p w14:paraId="235ACFDA" w14:textId="77777777" w:rsidR="00C9097F" w:rsidRDefault="00000000">
      <w:pPr>
        <w:pStyle w:val="ListParagraph"/>
        <w:numPr>
          <w:ilvl w:val="0"/>
          <w:numId w:val="2"/>
        </w:numPr>
        <w:spacing w:after="80" w:line="280" w:lineRule="auto"/>
      </w:pPr>
      <w:r>
        <w:t>Strong performance in clinical evaluations</w:t>
      </w:r>
    </w:p>
    <w:p w14:paraId="6DE4AE24" w14:textId="77777777" w:rsidR="00C9097F" w:rsidRDefault="00000000">
      <w:pPr>
        <w:pStyle w:val="ListParagraph"/>
        <w:numPr>
          <w:ilvl w:val="0"/>
          <w:numId w:val="2"/>
        </w:numPr>
        <w:spacing w:after="80" w:line="280" w:lineRule="auto"/>
      </w:pPr>
      <w:r>
        <w:t>High scores in Teacher Work Samples (demonstrating impact on student learning)</w:t>
      </w:r>
    </w:p>
    <w:p w14:paraId="78F99402" w14:textId="77777777" w:rsidR="00C9097F" w:rsidRDefault="00000000">
      <w:pPr>
        <w:pStyle w:val="ListParagraph"/>
        <w:numPr>
          <w:ilvl w:val="0"/>
          <w:numId w:val="2"/>
        </w:numPr>
        <w:spacing w:after="80" w:line="280" w:lineRule="auto"/>
      </w:pPr>
      <w:r>
        <w:t>High-quality portfolio artifacts reflecting planning, assessment, and reflection</w:t>
      </w:r>
    </w:p>
    <w:p w14:paraId="19B01760" w14:textId="77777777" w:rsidR="00C9097F" w:rsidRDefault="00000000">
      <w:pPr>
        <w:pStyle w:val="ListParagraph"/>
        <w:numPr>
          <w:ilvl w:val="0"/>
          <w:numId w:val="2"/>
        </w:numPr>
        <w:spacing w:after="80" w:line="280" w:lineRule="auto"/>
      </w:pPr>
      <w:r>
        <w:t>Consistent professionalism ratings</w:t>
      </w:r>
    </w:p>
    <w:p w14:paraId="137D8117" w14:textId="77777777" w:rsidR="00C9097F" w:rsidRDefault="00C9097F">
      <w:pPr>
        <w:spacing w:after="120"/>
      </w:pPr>
    </w:p>
    <w:p w14:paraId="50CE0035" w14:textId="1EDBE02E" w:rsidR="00C9097F" w:rsidRDefault="00000000">
      <w:pPr>
        <w:spacing w:after="160" w:line="300" w:lineRule="auto"/>
        <w:jc w:val="both"/>
      </w:pPr>
      <w:r>
        <w:t>This convergence of evidence strengthens the validity of the findings and confirms that candidates demonstrate competency across multiple domains of teaching practice.</w:t>
      </w:r>
      <w:r w:rsidR="00BF4E52">
        <w:t xml:space="preserve"> </w:t>
      </w:r>
      <w:r w:rsidR="00BF4E52">
        <w:t>Individual candidate data reviewed across multiple assessment components demonstrate consistent patterns of performance, with candidates meeting or exceeding expectations across clinical, instructional, and professional domains.</w:t>
      </w:r>
    </w:p>
    <w:p w14:paraId="09EADB95" w14:textId="77777777" w:rsidR="00C9097F" w:rsidRDefault="00000000">
      <w:pPr>
        <w:pStyle w:val="Heading1"/>
      </w:pPr>
      <w:r>
        <w:t>Interpretation of Findings</w:t>
      </w:r>
    </w:p>
    <w:p w14:paraId="11F68CF1" w14:textId="77777777" w:rsidR="00C9097F" w:rsidRDefault="00000000">
      <w:pPr>
        <w:spacing w:after="160" w:line="300" w:lineRule="auto"/>
        <w:jc w:val="both"/>
      </w:pPr>
      <w:r>
        <w:t>Overall, the data provide strong evidence that:</w:t>
      </w:r>
    </w:p>
    <w:p w14:paraId="3A89BAAA" w14:textId="77777777" w:rsidR="00C9097F" w:rsidRDefault="00000000">
      <w:pPr>
        <w:pStyle w:val="ListParagraph"/>
        <w:numPr>
          <w:ilvl w:val="0"/>
          <w:numId w:val="2"/>
        </w:numPr>
        <w:spacing w:after="80" w:line="280" w:lineRule="auto"/>
      </w:pPr>
      <w:r>
        <w:t>Candidates meet or exceed expected competency levels at program completion</w:t>
      </w:r>
    </w:p>
    <w:p w14:paraId="50CADFAD" w14:textId="77777777" w:rsidR="00C9097F" w:rsidRDefault="00000000">
      <w:pPr>
        <w:pStyle w:val="ListParagraph"/>
        <w:numPr>
          <w:ilvl w:val="0"/>
          <w:numId w:val="2"/>
        </w:numPr>
        <w:spacing w:after="80" w:line="280" w:lineRule="auto"/>
      </w:pPr>
      <w:r>
        <w:t>Candidates are prepared to:</w:t>
      </w:r>
    </w:p>
    <w:p w14:paraId="11F3DA79" w14:textId="77777777" w:rsidR="00C9097F" w:rsidRDefault="00000000">
      <w:pPr>
        <w:pStyle w:val="ListParagraph"/>
        <w:numPr>
          <w:ilvl w:val="1"/>
          <w:numId w:val="2"/>
        </w:numPr>
        <w:spacing w:after="80" w:line="280" w:lineRule="auto"/>
      </w:pPr>
      <w:r>
        <w:t>Plan and implement instruction</w:t>
      </w:r>
    </w:p>
    <w:p w14:paraId="531119A4" w14:textId="77777777" w:rsidR="00C9097F" w:rsidRDefault="00000000">
      <w:pPr>
        <w:pStyle w:val="ListParagraph"/>
        <w:numPr>
          <w:ilvl w:val="1"/>
          <w:numId w:val="2"/>
        </w:numPr>
        <w:spacing w:after="80" w:line="280" w:lineRule="auto"/>
      </w:pPr>
      <w:r>
        <w:t>Create effective learning environments</w:t>
      </w:r>
    </w:p>
    <w:p w14:paraId="52117F92" w14:textId="77777777" w:rsidR="00C9097F" w:rsidRDefault="00000000">
      <w:pPr>
        <w:pStyle w:val="ListParagraph"/>
        <w:numPr>
          <w:ilvl w:val="1"/>
          <w:numId w:val="2"/>
        </w:numPr>
        <w:spacing w:after="80" w:line="280" w:lineRule="auto"/>
      </w:pPr>
      <w:r>
        <w:t>Use assessment to inform instruction</w:t>
      </w:r>
    </w:p>
    <w:p w14:paraId="0457D976" w14:textId="77777777" w:rsidR="00C9097F" w:rsidRDefault="00000000">
      <w:pPr>
        <w:pStyle w:val="ListParagraph"/>
        <w:numPr>
          <w:ilvl w:val="1"/>
          <w:numId w:val="2"/>
        </w:numPr>
        <w:spacing w:after="80" w:line="280" w:lineRule="auto"/>
      </w:pPr>
      <w:r>
        <w:t>Demonstrate professional responsibility</w:t>
      </w:r>
    </w:p>
    <w:p w14:paraId="2160B5D5" w14:textId="59396A19" w:rsidR="00B2062E" w:rsidRPr="00B2062E" w:rsidRDefault="00B2062E" w:rsidP="00B2062E">
      <w:pPr>
        <w:pStyle w:val="NormalWeb"/>
        <w:rPr>
          <w:rFonts w:ascii="Calibri" w:hAnsi="Calibri" w:cs="Calibri"/>
          <w:sz w:val="22"/>
          <w:szCs w:val="22"/>
        </w:rPr>
      </w:pPr>
      <w:r w:rsidRPr="00B2062E">
        <w:rPr>
          <w:rFonts w:ascii="Calibri" w:hAnsi="Calibri" w:cs="Calibri"/>
          <w:sz w:val="22"/>
          <w:szCs w:val="22"/>
        </w:rPr>
        <w:t xml:space="preserve">Observed variation in scoring patterns reflects </w:t>
      </w:r>
      <w:r w:rsidRPr="00B2062E">
        <w:rPr>
          <w:rStyle w:val="Strong"/>
          <w:rFonts w:ascii="Calibri" w:hAnsi="Calibri" w:cs="Calibri"/>
          <w:b w:val="0"/>
          <w:bCs w:val="0"/>
          <w:sz w:val="22"/>
          <w:szCs w:val="22"/>
        </w:rPr>
        <w:t>differences</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in</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evaluator</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scoring</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approaches</w:t>
      </w:r>
      <w:r w:rsidRPr="00B2062E">
        <w:rPr>
          <w:rFonts w:ascii="Calibri" w:hAnsi="Calibri" w:cs="Calibri"/>
          <w:sz w:val="22"/>
          <w:szCs w:val="22"/>
        </w:rPr>
        <w:t>, not inconsistencies in candidate readiness.</w:t>
      </w:r>
      <w:r w:rsidRPr="00B2062E">
        <w:rPr>
          <w:rFonts w:ascii="Calibri" w:hAnsi="Calibri" w:cs="Calibri"/>
          <w:sz w:val="22"/>
          <w:szCs w:val="22"/>
        </w:rPr>
        <w:t xml:space="preserve"> </w:t>
      </w:r>
      <w:r w:rsidRPr="00B2062E">
        <w:rPr>
          <w:rFonts w:ascii="Calibri" w:hAnsi="Calibri" w:cs="Calibri"/>
          <w:sz w:val="22"/>
          <w:szCs w:val="22"/>
        </w:rPr>
        <w:t xml:space="preserve">The consistency of findings across </w:t>
      </w:r>
      <w:r w:rsidRPr="00B2062E">
        <w:rPr>
          <w:rStyle w:val="Strong"/>
          <w:rFonts w:ascii="Calibri" w:hAnsi="Calibri" w:cs="Calibri"/>
          <w:b w:val="0"/>
          <w:bCs w:val="0"/>
          <w:sz w:val="22"/>
          <w:szCs w:val="22"/>
        </w:rPr>
        <w:t>30</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candidates</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and</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multiple</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evaluators</w:t>
      </w:r>
      <w:r w:rsidRPr="00B2062E">
        <w:rPr>
          <w:rFonts w:ascii="Calibri" w:hAnsi="Calibri" w:cs="Calibri"/>
          <w:sz w:val="22"/>
          <w:szCs w:val="22"/>
        </w:rPr>
        <w:t xml:space="preserve"> supports the conclusion that results are </w:t>
      </w:r>
      <w:r w:rsidRPr="00B2062E">
        <w:rPr>
          <w:rStyle w:val="Strong"/>
          <w:rFonts w:ascii="Calibri" w:hAnsi="Calibri" w:cs="Calibri"/>
          <w:b w:val="0"/>
          <w:bCs w:val="0"/>
          <w:sz w:val="22"/>
          <w:szCs w:val="22"/>
        </w:rPr>
        <w:t>representative</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of</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overall</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candidate</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competency</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at</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program</w:t>
      </w:r>
      <w:r w:rsidRPr="00B2062E">
        <w:rPr>
          <w:rStyle w:val="Strong"/>
          <w:rFonts w:ascii="Calibri" w:hAnsi="Calibri" w:cs="Calibri"/>
          <w:sz w:val="22"/>
          <w:szCs w:val="22"/>
        </w:rPr>
        <w:t xml:space="preserve"> </w:t>
      </w:r>
      <w:r w:rsidRPr="00B2062E">
        <w:rPr>
          <w:rStyle w:val="Strong"/>
          <w:rFonts w:ascii="Calibri" w:hAnsi="Calibri" w:cs="Calibri"/>
          <w:b w:val="0"/>
          <w:bCs w:val="0"/>
          <w:sz w:val="22"/>
          <w:szCs w:val="22"/>
        </w:rPr>
        <w:t>completion</w:t>
      </w:r>
      <w:r w:rsidRPr="00B2062E">
        <w:rPr>
          <w:rFonts w:ascii="Calibri" w:hAnsi="Calibri" w:cs="Calibri"/>
          <w:sz w:val="22"/>
          <w:szCs w:val="22"/>
        </w:rPr>
        <w:t>.</w:t>
      </w:r>
    </w:p>
    <w:p w14:paraId="2A022ED4" w14:textId="77777777" w:rsidR="00C9097F" w:rsidRDefault="00C9097F">
      <w:pPr>
        <w:spacing w:after="120"/>
      </w:pPr>
    </w:p>
    <w:p w14:paraId="7F80F565" w14:textId="77777777" w:rsidR="00C9097F" w:rsidRDefault="00000000">
      <w:pPr>
        <w:pStyle w:val="Heading1"/>
      </w:pPr>
      <w:r>
        <w:t>Use of Data for Continuous Improvement</w:t>
      </w:r>
    </w:p>
    <w:p w14:paraId="115330DC" w14:textId="77777777" w:rsidR="00C9097F" w:rsidRDefault="00000000">
      <w:pPr>
        <w:spacing w:after="160" w:line="300" w:lineRule="auto"/>
        <w:jc w:val="both"/>
      </w:pPr>
      <w:r>
        <w:t>The EPP systematically uses these findings to inform continuous improvement efforts within its Quality Assurance System (QAS).</w:t>
      </w:r>
    </w:p>
    <w:p w14:paraId="3F86237D" w14:textId="77777777" w:rsidR="00C9097F" w:rsidRDefault="00000000">
      <w:pPr>
        <w:spacing w:after="160" w:line="300" w:lineRule="auto"/>
        <w:jc w:val="both"/>
      </w:pPr>
      <w:r>
        <w:t>Current actions include:</w:t>
      </w:r>
    </w:p>
    <w:p w14:paraId="180C5BC3" w14:textId="77777777" w:rsidR="00C9097F" w:rsidRDefault="00000000">
      <w:pPr>
        <w:pStyle w:val="ListParagraph"/>
        <w:numPr>
          <w:ilvl w:val="0"/>
          <w:numId w:val="2"/>
        </w:numPr>
        <w:spacing w:after="80" w:line="280" w:lineRule="auto"/>
      </w:pPr>
      <w:r>
        <w:t>Ongoing validation and reliability studies of the Clinical Observation Instrument</w:t>
      </w:r>
    </w:p>
    <w:p w14:paraId="2D290A27" w14:textId="77777777" w:rsidR="00C9097F" w:rsidRDefault="00000000">
      <w:pPr>
        <w:pStyle w:val="ListParagraph"/>
        <w:numPr>
          <w:ilvl w:val="0"/>
          <w:numId w:val="2"/>
        </w:numPr>
        <w:spacing w:after="80" w:line="280" w:lineRule="auto"/>
      </w:pPr>
      <w:r>
        <w:t>Implementation of evaluator calibration and training processes</w:t>
      </w:r>
    </w:p>
    <w:p w14:paraId="1A774A7E" w14:textId="77777777" w:rsidR="00C9097F" w:rsidRDefault="00000000">
      <w:pPr>
        <w:pStyle w:val="ListParagraph"/>
        <w:numPr>
          <w:ilvl w:val="0"/>
          <w:numId w:val="2"/>
        </w:numPr>
        <w:spacing w:after="80" w:line="280" w:lineRule="auto"/>
      </w:pPr>
      <w:r>
        <w:lastRenderedPageBreak/>
        <w:t>Strengthening alignment between coursework and clinical expectations</w:t>
      </w:r>
    </w:p>
    <w:p w14:paraId="6D7192D2" w14:textId="77777777" w:rsidR="00C9097F" w:rsidRDefault="00000000">
      <w:pPr>
        <w:pStyle w:val="ListParagraph"/>
        <w:numPr>
          <w:ilvl w:val="0"/>
          <w:numId w:val="2"/>
        </w:numPr>
        <w:spacing w:after="80" w:line="280" w:lineRule="auto"/>
      </w:pPr>
      <w:r>
        <w:t>Continuous review of assessment data to inform program decisions</w:t>
      </w:r>
    </w:p>
    <w:p w14:paraId="391A7455" w14:textId="77777777" w:rsidR="00C9097F" w:rsidRDefault="00C9097F">
      <w:pPr>
        <w:spacing w:after="120"/>
      </w:pPr>
    </w:p>
    <w:p w14:paraId="46EDA5E3" w14:textId="77777777" w:rsidR="00C9097F" w:rsidRDefault="00000000">
      <w:pPr>
        <w:spacing w:after="160" w:line="300" w:lineRule="auto"/>
        <w:jc w:val="both"/>
      </w:pPr>
      <w:r>
        <w:t>These efforts ensure that:</w:t>
      </w:r>
    </w:p>
    <w:p w14:paraId="2601DA78" w14:textId="77777777" w:rsidR="00C9097F" w:rsidRDefault="00000000">
      <w:pPr>
        <w:pStyle w:val="ListParagraph"/>
        <w:numPr>
          <w:ilvl w:val="0"/>
          <w:numId w:val="2"/>
        </w:numPr>
        <w:spacing w:after="80" w:line="280" w:lineRule="auto"/>
      </w:pPr>
      <w:r>
        <w:t>Data are used in a systematic and intentional manner</w:t>
      </w:r>
    </w:p>
    <w:p w14:paraId="302701BD" w14:textId="77777777" w:rsidR="00C9097F" w:rsidRDefault="00000000">
      <w:pPr>
        <w:pStyle w:val="ListParagraph"/>
        <w:numPr>
          <w:ilvl w:val="0"/>
          <w:numId w:val="2"/>
        </w:numPr>
        <w:spacing w:after="80" w:line="280" w:lineRule="auto"/>
      </w:pPr>
      <w:r>
        <w:t>Assessment practices are continuously refined</w:t>
      </w:r>
    </w:p>
    <w:p w14:paraId="637A88D3" w14:textId="77777777" w:rsidR="00C9097F" w:rsidRDefault="00000000">
      <w:pPr>
        <w:pStyle w:val="ListParagraph"/>
        <w:numPr>
          <w:ilvl w:val="0"/>
          <w:numId w:val="2"/>
        </w:numPr>
        <w:spacing w:after="80" w:line="280" w:lineRule="auto"/>
      </w:pPr>
      <w:r>
        <w:t>Program improvements are evidence-based</w:t>
      </w:r>
    </w:p>
    <w:p w14:paraId="6EDFE655" w14:textId="77777777" w:rsidR="00C9097F" w:rsidRDefault="00000000">
      <w:pPr>
        <w:pStyle w:val="Heading1"/>
      </w:pPr>
      <w:r>
        <w:t>Conclusion</w:t>
      </w:r>
    </w:p>
    <w:p w14:paraId="1E94495C" w14:textId="77777777" w:rsidR="00C9097F" w:rsidRDefault="00000000">
      <w:pPr>
        <w:spacing w:after="160" w:line="300" w:lineRule="auto"/>
        <w:jc w:val="both"/>
      </w:pPr>
      <w:r>
        <w:t>The Educator Preparation Program demonstrates that candidates meet competency expectations at program completion, as required by CAEP Component R3.3.</w:t>
      </w:r>
    </w:p>
    <w:p w14:paraId="39CF1947" w14:textId="77777777" w:rsidR="00C9097F" w:rsidRDefault="00000000">
      <w:pPr>
        <w:spacing w:after="160" w:line="300" w:lineRule="auto"/>
        <w:jc w:val="both"/>
      </w:pPr>
      <w:r>
        <w:t>This conclusion is supported by:</w:t>
      </w:r>
    </w:p>
    <w:p w14:paraId="59097DE0" w14:textId="77777777" w:rsidR="00C9097F" w:rsidRDefault="00000000">
      <w:pPr>
        <w:pStyle w:val="ListParagraph"/>
        <w:numPr>
          <w:ilvl w:val="0"/>
          <w:numId w:val="2"/>
        </w:numPr>
        <w:spacing w:after="80" w:line="280" w:lineRule="auto"/>
      </w:pPr>
      <w:r>
        <w:t>Multiple performance-based assessments</w:t>
      </w:r>
    </w:p>
    <w:p w14:paraId="5C2EE658" w14:textId="77777777" w:rsidR="00C9097F" w:rsidRDefault="00000000">
      <w:pPr>
        <w:pStyle w:val="ListParagraph"/>
        <w:numPr>
          <w:ilvl w:val="0"/>
          <w:numId w:val="2"/>
        </w:numPr>
        <w:spacing w:after="80" w:line="280" w:lineRule="auto"/>
      </w:pPr>
      <w:r>
        <w:t>Consistent findings across evaluators</w:t>
      </w:r>
    </w:p>
    <w:p w14:paraId="0E47B45C" w14:textId="77777777" w:rsidR="00C9097F" w:rsidRDefault="00000000">
      <w:pPr>
        <w:pStyle w:val="ListParagraph"/>
        <w:numPr>
          <w:ilvl w:val="0"/>
          <w:numId w:val="2"/>
        </w:numPr>
        <w:spacing w:after="80" w:line="280" w:lineRule="auto"/>
      </w:pPr>
      <w:r>
        <w:t>Evidence of competency across all domains of teaching practice</w:t>
      </w:r>
    </w:p>
    <w:p w14:paraId="6FDEE098" w14:textId="77777777" w:rsidR="00C9097F" w:rsidRDefault="00C9097F">
      <w:pPr>
        <w:spacing w:after="120"/>
      </w:pPr>
    </w:p>
    <w:p w14:paraId="545B29BE" w14:textId="444402A1" w:rsidR="00C9097F" w:rsidRDefault="00BF4E52">
      <w:pPr>
        <w:spacing w:after="160" w:line="300" w:lineRule="auto"/>
        <w:jc w:val="both"/>
      </w:pPr>
      <w:r>
        <w:t>These findings are based on a robust dataset that includes multiple candidates, evaluators, and assessment measures, strengthening the validity and generalizability of the results.</w:t>
      </w:r>
    </w:p>
    <w:p w14:paraId="423EA3C8" w14:textId="2896A35A" w:rsidR="00B2062E" w:rsidRDefault="00B2062E">
      <w:pPr>
        <w:spacing w:after="160" w:line="300" w:lineRule="auto"/>
        <w:jc w:val="both"/>
      </w:pPr>
      <w:r>
        <w:t>The EPP remains committed to strengthening its assessment system through ongoing validation, calibration, and data-informed decision-making to ensure sustained program quality and candidate effectiveness.</w:t>
      </w:r>
    </w:p>
    <w:sectPr w:rsidR="00B2062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EC4C" w14:textId="77777777" w:rsidR="00BE6402" w:rsidRDefault="00BE6402">
      <w:r>
        <w:separator/>
      </w:r>
    </w:p>
  </w:endnote>
  <w:endnote w:type="continuationSeparator" w:id="0">
    <w:p w14:paraId="36F3616A" w14:textId="77777777" w:rsidR="00BE6402" w:rsidRDefault="00BE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1EC3" w14:textId="77777777" w:rsidR="00C9097F" w:rsidRDefault="0000000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952787">
      <w:rPr>
        <w:noProof/>
        <w:color w:val="595959"/>
        <w:sz w:val="18"/>
        <w:szCs w:val="18"/>
      </w:rPr>
      <w:t>1</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952787">
      <w:rPr>
        <w:noProof/>
        <w:color w:val="595959"/>
        <w:sz w:val="18"/>
        <w:szCs w:val="18"/>
      </w:rPr>
      <w:t>2</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A4BC" w14:textId="77777777" w:rsidR="00BE6402" w:rsidRDefault="00BE6402">
      <w:r>
        <w:separator/>
      </w:r>
    </w:p>
  </w:footnote>
  <w:footnote w:type="continuationSeparator" w:id="0">
    <w:p w14:paraId="7B979FFC" w14:textId="77777777" w:rsidR="00BE6402" w:rsidRDefault="00BE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0B16" w14:textId="77777777" w:rsidR="00C9097F" w:rsidRDefault="00000000">
    <w:pPr>
      <w:pBdr>
        <w:bottom w:val="single" w:sz="4" w:space="4" w:color="BFBFBF"/>
      </w:pBdr>
      <w:tabs>
        <w:tab w:val="right" w:pos="9026"/>
      </w:tabs>
    </w:pPr>
    <w:r>
      <w:rPr>
        <w:i/>
        <w:iCs/>
        <w:color w:val="595959"/>
        <w:sz w:val="18"/>
        <w:szCs w:val="18"/>
      </w:rPr>
      <w:t>CAEP Measure 3 — Candidate Competency at Program Completion</w:t>
    </w:r>
    <w:r>
      <w:tab/>
    </w:r>
    <w:r>
      <w:rPr>
        <w:i/>
        <w:iCs/>
        <w:color w:val="595959"/>
        <w:sz w:val="18"/>
        <w:szCs w:val="18"/>
      </w:rPr>
      <w:t>EPP Self-Study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2BA"/>
    <w:multiLevelType w:val="multilevel"/>
    <w:tmpl w:val="5A3AD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827F8"/>
    <w:multiLevelType w:val="hybridMultilevel"/>
    <w:tmpl w:val="371A4560"/>
    <w:lvl w:ilvl="0" w:tplc="FA7AC82A">
      <w:start w:val="1"/>
      <w:numFmt w:val="bullet"/>
      <w:lvlText w:val="●"/>
      <w:lvlJc w:val="left"/>
      <w:pPr>
        <w:ind w:left="720" w:hanging="360"/>
      </w:pPr>
    </w:lvl>
    <w:lvl w:ilvl="1" w:tplc="B0A2D5A2">
      <w:start w:val="1"/>
      <w:numFmt w:val="bullet"/>
      <w:lvlText w:val="○"/>
      <w:lvlJc w:val="left"/>
      <w:pPr>
        <w:ind w:left="1440" w:hanging="360"/>
      </w:pPr>
    </w:lvl>
    <w:lvl w:ilvl="2" w:tplc="22EE537C">
      <w:start w:val="1"/>
      <w:numFmt w:val="bullet"/>
      <w:lvlText w:val="■"/>
      <w:lvlJc w:val="left"/>
      <w:pPr>
        <w:ind w:left="2160" w:hanging="360"/>
      </w:pPr>
    </w:lvl>
    <w:lvl w:ilvl="3" w:tplc="5142D77C">
      <w:start w:val="1"/>
      <w:numFmt w:val="bullet"/>
      <w:lvlText w:val="●"/>
      <w:lvlJc w:val="left"/>
      <w:pPr>
        <w:ind w:left="2880" w:hanging="360"/>
      </w:pPr>
    </w:lvl>
    <w:lvl w:ilvl="4" w:tplc="65A61806">
      <w:start w:val="1"/>
      <w:numFmt w:val="bullet"/>
      <w:lvlText w:val="○"/>
      <w:lvlJc w:val="left"/>
      <w:pPr>
        <w:ind w:left="3600" w:hanging="360"/>
      </w:pPr>
    </w:lvl>
    <w:lvl w:ilvl="5" w:tplc="F552E672">
      <w:start w:val="1"/>
      <w:numFmt w:val="bullet"/>
      <w:lvlText w:val="■"/>
      <w:lvlJc w:val="left"/>
      <w:pPr>
        <w:ind w:left="4320" w:hanging="360"/>
      </w:pPr>
    </w:lvl>
    <w:lvl w:ilvl="6" w:tplc="5D645636">
      <w:start w:val="1"/>
      <w:numFmt w:val="bullet"/>
      <w:lvlText w:val="●"/>
      <w:lvlJc w:val="left"/>
      <w:pPr>
        <w:ind w:left="5040" w:hanging="360"/>
      </w:pPr>
    </w:lvl>
    <w:lvl w:ilvl="7" w:tplc="D9F65E64">
      <w:start w:val="1"/>
      <w:numFmt w:val="bullet"/>
      <w:lvlText w:val="●"/>
      <w:lvlJc w:val="left"/>
      <w:pPr>
        <w:ind w:left="5760" w:hanging="360"/>
      </w:pPr>
    </w:lvl>
    <w:lvl w:ilvl="8" w:tplc="7E2CE7C2">
      <w:start w:val="1"/>
      <w:numFmt w:val="bullet"/>
      <w:lvlText w:val="●"/>
      <w:lvlJc w:val="left"/>
      <w:pPr>
        <w:ind w:left="6480" w:hanging="360"/>
      </w:pPr>
    </w:lvl>
  </w:abstractNum>
  <w:abstractNum w:abstractNumId="2" w15:restartNumberingAfterBreak="0">
    <w:nsid w:val="50CA2A1C"/>
    <w:multiLevelType w:val="multilevel"/>
    <w:tmpl w:val="5150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2D6192"/>
    <w:multiLevelType w:val="multilevel"/>
    <w:tmpl w:val="F538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52416"/>
    <w:multiLevelType w:val="multilevel"/>
    <w:tmpl w:val="2C8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718C8"/>
    <w:multiLevelType w:val="hybridMultilevel"/>
    <w:tmpl w:val="D0B43120"/>
    <w:lvl w:ilvl="0" w:tplc="0EA07BD0">
      <w:start w:val="1"/>
      <w:numFmt w:val="bullet"/>
      <w:lvlText w:val="•"/>
      <w:lvlJc w:val="left"/>
      <w:pPr>
        <w:ind w:left="720" w:hanging="360"/>
      </w:pPr>
    </w:lvl>
    <w:lvl w:ilvl="1" w:tplc="49907DE6">
      <w:start w:val="1"/>
      <w:numFmt w:val="bullet"/>
      <w:lvlText w:val="◦"/>
      <w:lvlJc w:val="left"/>
      <w:pPr>
        <w:ind w:left="1440" w:hanging="360"/>
      </w:pPr>
    </w:lvl>
    <w:lvl w:ilvl="2" w:tplc="6E5C2300">
      <w:numFmt w:val="decimal"/>
      <w:lvlText w:val=""/>
      <w:lvlJc w:val="left"/>
    </w:lvl>
    <w:lvl w:ilvl="3" w:tplc="05608A6E">
      <w:numFmt w:val="decimal"/>
      <w:lvlText w:val=""/>
      <w:lvlJc w:val="left"/>
    </w:lvl>
    <w:lvl w:ilvl="4" w:tplc="0AF00670">
      <w:numFmt w:val="decimal"/>
      <w:lvlText w:val=""/>
      <w:lvlJc w:val="left"/>
    </w:lvl>
    <w:lvl w:ilvl="5" w:tplc="456A63C0">
      <w:numFmt w:val="decimal"/>
      <w:lvlText w:val=""/>
      <w:lvlJc w:val="left"/>
    </w:lvl>
    <w:lvl w:ilvl="6" w:tplc="46ACC768">
      <w:numFmt w:val="decimal"/>
      <w:lvlText w:val=""/>
      <w:lvlJc w:val="left"/>
    </w:lvl>
    <w:lvl w:ilvl="7" w:tplc="55DE96DC">
      <w:numFmt w:val="decimal"/>
      <w:lvlText w:val=""/>
      <w:lvlJc w:val="left"/>
    </w:lvl>
    <w:lvl w:ilvl="8" w:tplc="239C9420">
      <w:numFmt w:val="decimal"/>
      <w:lvlText w:val=""/>
      <w:lvlJc w:val="left"/>
    </w:lvl>
  </w:abstractNum>
  <w:num w:numId="1" w16cid:durableId="1923875015">
    <w:abstractNumId w:val="1"/>
    <w:lvlOverride w:ilvl="0">
      <w:startOverride w:val="1"/>
    </w:lvlOverride>
  </w:num>
  <w:num w:numId="2" w16cid:durableId="768500944">
    <w:abstractNumId w:val="5"/>
    <w:lvlOverride w:ilvl="0">
      <w:startOverride w:val="1"/>
    </w:lvlOverride>
  </w:num>
  <w:num w:numId="3" w16cid:durableId="856574714">
    <w:abstractNumId w:val="0"/>
  </w:num>
  <w:num w:numId="4" w16cid:durableId="416941581">
    <w:abstractNumId w:val="3"/>
  </w:num>
  <w:num w:numId="5" w16cid:durableId="769736413">
    <w:abstractNumId w:val="2"/>
  </w:num>
  <w:num w:numId="6" w16cid:durableId="75591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7F"/>
    <w:rsid w:val="000B367C"/>
    <w:rsid w:val="003A2070"/>
    <w:rsid w:val="004F01F4"/>
    <w:rsid w:val="008C0EC9"/>
    <w:rsid w:val="008F3B4A"/>
    <w:rsid w:val="00952787"/>
    <w:rsid w:val="00A5554D"/>
    <w:rsid w:val="00B2062E"/>
    <w:rsid w:val="00BE6402"/>
    <w:rsid w:val="00BF4E52"/>
    <w:rsid w:val="00C9097F"/>
    <w:rsid w:val="00F4475D"/>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2051C61E"/>
  <w15:docId w15:val="{30B64F55-F8C0-CB4A-B69C-44B62BD4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1F3864"/>
      </w:pBdr>
      <w:spacing w:before="320" w:after="160"/>
      <w:outlineLvl w:val="0"/>
    </w:pPr>
    <w:rPr>
      <w:b/>
      <w:bCs/>
      <w:color w:val="1F3864"/>
      <w:sz w:val="30"/>
      <w:szCs w:val="30"/>
    </w:rPr>
  </w:style>
  <w:style w:type="paragraph" w:styleId="Heading2">
    <w:name w:val="heading 2"/>
    <w:uiPriority w:val="9"/>
    <w:unhideWhenUsed/>
    <w:qFormat/>
    <w:pPr>
      <w:spacing w:before="220" w:after="120"/>
      <w:outlineLvl w:val="1"/>
    </w:pPr>
    <w:rPr>
      <w:b/>
      <w:bCs/>
      <w:color w:val="2E539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BF4E52"/>
    <w:rPr>
      <w:b/>
      <w:bCs/>
    </w:rPr>
  </w:style>
  <w:style w:type="paragraph" w:styleId="NormalWeb">
    <w:name w:val="Normal (Web)"/>
    <w:basedOn w:val="Normal"/>
    <w:uiPriority w:val="99"/>
    <w:semiHidden/>
    <w:unhideWhenUsed/>
    <w:rsid w:val="000B367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A55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5554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A555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7Colorful-Accent4">
    <w:name w:val="List Table 7 Colorful Accent 4"/>
    <w:basedOn w:val="TableNormal"/>
    <w:uiPriority w:val="52"/>
    <w:rsid w:val="00A5554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A5554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1004</Words>
  <Characters>6428</Characters>
  <Application>Microsoft Office Word</Application>
  <DocSecurity>0</DocSecurity>
  <Lines>200</Lines>
  <Paragraphs>165</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CAEP Measure 3 - Candidate Competency at Program Completion</dc:title>
  <dc:creator>Educator Preparation Program</dc:creator>
  <cp:lastModifiedBy>Janette Ferrer Montes</cp:lastModifiedBy>
  <cp:revision>2</cp:revision>
  <dcterms:created xsi:type="dcterms:W3CDTF">2026-04-27T20:57:00Z</dcterms:created>
  <dcterms:modified xsi:type="dcterms:W3CDTF">2026-04-27T20:57:00Z</dcterms:modified>
</cp:coreProperties>
</file>