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AA5C" w14:textId="77777777" w:rsidR="00000732" w:rsidRDefault="00000000">
      <w:pPr>
        <w:spacing w:after="60"/>
        <w:jc w:val="center"/>
      </w:pPr>
      <w:r>
        <w:rPr>
          <w:b/>
          <w:bCs/>
          <w:color w:val="1F4E79"/>
          <w:sz w:val="36"/>
          <w:szCs w:val="36"/>
        </w:rPr>
        <w:t>MEETING MINUTES</w:t>
      </w:r>
    </w:p>
    <w:p w14:paraId="248C6736" w14:textId="77777777" w:rsidR="00000732" w:rsidRDefault="00000000">
      <w:pPr>
        <w:spacing w:after="60"/>
        <w:jc w:val="center"/>
      </w:pPr>
      <w:r>
        <w:rPr>
          <w:color w:val="2E75B6"/>
          <w:sz w:val="28"/>
          <w:szCs w:val="28"/>
        </w:rPr>
        <w:t>Stakeholder Involvement in Program Evaluation</w:t>
      </w:r>
    </w:p>
    <w:p w14:paraId="396049A6" w14:textId="77777777" w:rsidR="00000732" w:rsidRDefault="00000000">
      <w:pPr>
        <w:spacing w:after="200"/>
        <w:jc w:val="center"/>
      </w:pPr>
      <w:r>
        <w:rPr>
          <w:color w:val="2E75B6"/>
          <w:sz w:val="28"/>
          <w:szCs w:val="28"/>
        </w:rPr>
        <w:t>and Continuous Improvement</w:t>
      </w:r>
    </w:p>
    <w:p w14:paraId="3DF646A3" w14:textId="77777777" w:rsidR="00000732" w:rsidRDefault="00000000">
      <w:pPr>
        <w:spacing w:after="100"/>
        <w:jc w:val="center"/>
      </w:pPr>
      <w:r>
        <w:rPr>
          <w:b/>
          <w:bCs/>
          <w:color w:val="333333"/>
          <w:sz w:val="24"/>
          <w:szCs w:val="24"/>
        </w:rPr>
        <w:t>Teacher Preparation Program (TPP)</w:t>
      </w:r>
    </w:p>
    <w:p w14:paraId="2C00B32F" w14:textId="77777777" w:rsidR="00000732" w:rsidRDefault="00000000">
      <w:pPr>
        <w:spacing w:after="300"/>
        <w:jc w:val="center"/>
      </w:pPr>
      <w:r>
        <w:rPr>
          <w:color w:val="333333"/>
          <w:sz w:val="24"/>
          <w:szCs w:val="24"/>
        </w:rPr>
        <w:t>University of Puerto Rico at Mayagüez</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000732" w14:paraId="4FB9DFCE"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31E6CEFE" w14:textId="77777777" w:rsidR="00000732" w:rsidRDefault="00000000">
            <w:r>
              <w:rPr>
                <w:b/>
                <w:bCs/>
                <w:color w:val="1F4E79"/>
              </w:rPr>
              <w:t>Date</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7E9FB399" w14:textId="77777777" w:rsidR="00000732" w:rsidRDefault="00000000">
            <w:r>
              <w:rPr>
                <w:color w:val="333333"/>
              </w:rPr>
              <w:t>October 22, 2025</w:t>
            </w:r>
          </w:p>
        </w:tc>
      </w:tr>
      <w:tr w:rsidR="00000732" w14:paraId="2C85BCA5"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28CBB8FB" w14:textId="77777777" w:rsidR="00000732" w:rsidRDefault="00000000">
            <w:r>
              <w:rPr>
                <w:b/>
                <w:bCs/>
                <w:color w:val="1F4E79"/>
              </w:rPr>
              <w:t>Format</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2A84322D" w14:textId="77777777" w:rsidR="00000732" w:rsidRDefault="00000000">
            <w:r>
              <w:rPr>
                <w:color w:val="333333"/>
              </w:rPr>
              <w:t>Virtual Session</w:t>
            </w:r>
          </w:p>
        </w:tc>
      </w:tr>
      <w:tr w:rsidR="00000732" w14:paraId="0E005789"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21A2C6AE" w14:textId="77777777" w:rsidR="00000732" w:rsidRDefault="00000000">
            <w:r>
              <w:rPr>
                <w:b/>
                <w:bCs/>
                <w:color w:val="1F4E79"/>
              </w:rPr>
              <w:t>Participants</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7CACD8A6" w14:textId="77777777" w:rsidR="00000732" w:rsidRDefault="00000000">
            <w:r>
              <w:rPr>
                <w:color w:val="333333"/>
              </w:rPr>
              <w:t>53 External Stakeholders</w:t>
            </w:r>
          </w:p>
        </w:tc>
      </w:tr>
      <w:tr w:rsidR="00000732" w14:paraId="419A7381"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3E2AE694" w14:textId="77777777" w:rsidR="00000732" w:rsidRDefault="00000000">
            <w:r>
              <w:rPr>
                <w:b/>
                <w:bCs/>
                <w:color w:val="1F4E79"/>
              </w:rPr>
              <w:t>Duration</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0EDCA45E" w14:textId="77777777" w:rsidR="00000732" w:rsidRDefault="00000000">
            <w:r>
              <w:rPr>
                <w:color w:val="333333"/>
              </w:rPr>
              <w:t>Approximately 44 minutes (average)</w:t>
            </w:r>
          </w:p>
        </w:tc>
      </w:tr>
      <w:tr w:rsidR="00000732" w14:paraId="25418AEF"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5D4DEF08" w14:textId="77777777" w:rsidR="00000732" w:rsidRDefault="00000000">
            <w:r>
              <w:rPr>
                <w:b/>
                <w:bCs/>
                <w:color w:val="1F4E79"/>
              </w:rPr>
              <w:t>CAEP Standards</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11D7F793" w14:textId="77777777" w:rsidR="00000732" w:rsidRDefault="00000000">
            <w:r>
              <w:rPr>
                <w:color w:val="333333"/>
              </w:rPr>
              <w:t>R4.2, R5.1, R5.3</w:t>
            </w:r>
          </w:p>
        </w:tc>
      </w:tr>
      <w:tr w:rsidR="00000732" w14:paraId="07C359FA" w14:textId="77777777">
        <w:tc>
          <w:tcPr>
            <w:tcW w:w="28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5E7BC611" w14:textId="77777777" w:rsidR="00000732" w:rsidRDefault="00000000">
            <w:r>
              <w:rPr>
                <w:b/>
                <w:bCs/>
                <w:color w:val="1F4E79"/>
              </w:rPr>
              <w:t>Evidence Reference</w:t>
            </w:r>
          </w:p>
        </w:tc>
        <w:tc>
          <w:tcPr>
            <w:tcW w:w="6560"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4D6A72CF" w14:textId="77777777" w:rsidR="00000732" w:rsidRDefault="00000000">
            <w:r>
              <w:rPr>
                <w:color w:val="333333"/>
              </w:rPr>
              <w:t>Evidence 5.3.X</w:t>
            </w:r>
          </w:p>
        </w:tc>
      </w:tr>
    </w:tbl>
    <w:p w14:paraId="6C5F7913" w14:textId="77777777" w:rsidR="00000732" w:rsidRDefault="00000732">
      <w:pPr>
        <w:spacing w:after="80"/>
      </w:pPr>
    </w:p>
    <w:p w14:paraId="25B4C304" w14:textId="77777777" w:rsidR="00000732" w:rsidRDefault="00000000">
      <w:pPr>
        <w:pStyle w:val="Heading1"/>
        <w:pBdr>
          <w:bottom w:val="single" w:sz="4" w:space="4" w:color="2E75B6"/>
        </w:pBdr>
      </w:pPr>
      <w:r>
        <w:t>1. Purpose</w:t>
      </w:r>
    </w:p>
    <w:p w14:paraId="22AA46B3" w14:textId="77777777" w:rsidR="00000732" w:rsidRDefault="00000000">
      <w:pPr>
        <w:spacing w:after="160" w:line="276" w:lineRule="auto"/>
        <w:jc w:val="both"/>
      </w:pPr>
      <w:r>
        <w:rPr>
          <w:color w:val="333333"/>
        </w:rPr>
        <w:t>The purpose of this stakeholder engagement activity was to systematically involve employers and external partners in the review of program data, identification of strengths and areas for improvement, and development of actionable recommendations to enhance candidate preparation.</w:t>
      </w:r>
    </w:p>
    <w:p w14:paraId="7966F71F" w14:textId="77777777" w:rsidR="00000732" w:rsidRDefault="00000000">
      <w:pPr>
        <w:spacing w:after="160" w:line="276" w:lineRule="auto"/>
        <w:jc w:val="both"/>
      </w:pPr>
      <w:r>
        <w:rPr>
          <w:color w:val="333333"/>
        </w:rPr>
        <w:t>This initiative directly addresses prior Areas for Improvement (AFIs) related to limited evidence of stakeholder involvement and employer feedback (CAEP Standards R4.2 and R5.3), and supports the continuous improvement processes embedded within the EPP’s Quality Assurance System (QAS).</w:t>
      </w:r>
    </w:p>
    <w:p w14:paraId="7E236601" w14:textId="77777777" w:rsidR="00000732" w:rsidRDefault="00000000">
      <w:pPr>
        <w:pStyle w:val="Heading1"/>
        <w:pBdr>
          <w:bottom w:val="single" w:sz="4" w:space="4" w:color="2E75B6"/>
        </w:pBdr>
      </w:pPr>
      <w:r>
        <w:t>2. Stakeholder Participation</w:t>
      </w:r>
    </w:p>
    <w:p w14:paraId="2F0D3D69" w14:textId="77777777" w:rsidR="00000732" w:rsidRDefault="00000000">
      <w:pPr>
        <w:spacing w:after="160" w:line="276" w:lineRule="auto"/>
        <w:jc w:val="both"/>
      </w:pPr>
      <w:r>
        <w:rPr>
          <w:color w:val="333333"/>
        </w:rPr>
        <w:t>A total of 53 external stakeholders participated in the session, including:</w:t>
      </w:r>
    </w:p>
    <w:p w14:paraId="29F9A12A" w14:textId="77777777" w:rsidR="00000732" w:rsidRDefault="00000000">
      <w:pPr>
        <w:pStyle w:val="ListParagraph"/>
        <w:numPr>
          <w:ilvl w:val="0"/>
          <w:numId w:val="2"/>
        </w:numPr>
        <w:spacing w:after="80" w:line="276" w:lineRule="auto"/>
      </w:pPr>
      <w:r>
        <w:rPr>
          <w:color w:val="333333"/>
        </w:rPr>
        <w:t>School Principals (Employers)</w:t>
      </w:r>
    </w:p>
    <w:p w14:paraId="68A88EB0" w14:textId="77777777" w:rsidR="00000732" w:rsidRDefault="00000000">
      <w:pPr>
        <w:pStyle w:val="ListParagraph"/>
        <w:numPr>
          <w:ilvl w:val="0"/>
          <w:numId w:val="2"/>
        </w:numPr>
        <w:spacing w:after="80" w:line="276" w:lineRule="auto"/>
      </w:pPr>
      <w:r>
        <w:rPr>
          <w:color w:val="333333"/>
        </w:rPr>
        <w:t>Cooperating Teachers</w:t>
      </w:r>
    </w:p>
    <w:p w14:paraId="2576EC40" w14:textId="77777777" w:rsidR="00000732" w:rsidRDefault="00000000">
      <w:pPr>
        <w:pStyle w:val="ListParagraph"/>
        <w:numPr>
          <w:ilvl w:val="0"/>
          <w:numId w:val="2"/>
        </w:numPr>
        <w:spacing w:after="80" w:line="276" w:lineRule="auto"/>
      </w:pPr>
      <w:r>
        <w:rPr>
          <w:color w:val="333333"/>
        </w:rPr>
        <w:t>Representatives from the Regional Educational Office (ORE)</w:t>
      </w:r>
    </w:p>
    <w:p w14:paraId="5E5225D2" w14:textId="77777777" w:rsidR="00000732" w:rsidRDefault="00000000">
      <w:pPr>
        <w:spacing w:after="160" w:line="276" w:lineRule="auto"/>
        <w:jc w:val="both"/>
      </w:pPr>
      <w:r>
        <w:rPr>
          <w:color w:val="333333"/>
        </w:rPr>
        <w:t>Average participation time was approximately 44 minutes, indicating sustained and meaningful engagement.</w:t>
      </w:r>
    </w:p>
    <w:p w14:paraId="1081C993" w14:textId="77777777" w:rsidR="00000732" w:rsidRDefault="00000000">
      <w:pPr>
        <w:spacing w:after="160" w:line="276" w:lineRule="auto"/>
        <w:jc w:val="both"/>
      </w:pPr>
      <w:r>
        <w:rPr>
          <w:color w:val="333333"/>
        </w:rPr>
        <w:t>Stakeholders represented multiple school contexts and grade levels, ensuring diverse perspectives on candidate preparation and performance in real classroom settings.</w:t>
      </w:r>
    </w:p>
    <w:p w14:paraId="5E1ECF89" w14:textId="77777777" w:rsidR="00000732" w:rsidRDefault="00000000">
      <w:pPr>
        <w:pStyle w:val="Heading1"/>
        <w:pBdr>
          <w:bottom w:val="single" w:sz="4" w:space="4" w:color="2E75B6"/>
        </w:pBdr>
      </w:pPr>
      <w:r>
        <w:t>3. Description of the Activity</w:t>
      </w:r>
    </w:p>
    <w:p w14:paraId="5F0CB161" w14:textId="77777777" w:rsidR="00000732" w:rsidRDefault="00000000">
      <w:pPr>
        <w:spacing w:after="160" w:line="276" w:lineRule="auto"/>
        <w:jc w:val="both"/>
      </w:pPr>
      <w:r>
        <w:rPr>
          <w:color w:val="333333"/>
        </w:rPr>
        <w:lastRenderedPageBreak/>
        <w:t>The stakeholder engagement session (October 22, 2025) included multiple structured components designed to promote active participation:</w:t>
      </w:r>
    </w:p>
    <w:p w14:paraId="04FDC4B0" w14:textId="77777777" w:rsidR="00000732" w:rsidRDefault="00000000">
      <w:pPr>
        <w:pStyle w:val="ListParagraph"/>
        <w:numPr>
          <w:ilvl w:val="0"/>
          <w:numId w:val="3"/>
        </w:numPr>
        <w:spacing w:after="80" w:line="276" w:lineRule="auto"/>
      </w:pPr>
      <w:r>
        <w:rPr>
          <w:color w:val="333333"/>
        </w:rPr>
        <w:t>Presentation of Teacher Preparation Program overview and completer survey results</w:t>
      </w:r>
    </w:p>
    <w:p w14:paraId="166F3D60" w14:textId="45CB0860" w:rsidR="00000732" w:rsidRDefault="00000000">
      <w:pPr>
        <w:pStyle w:val="ListParagraph"/>
        <w:numPr>
          <w:ilvl w:val="0"/>
          <w:numId w:val="3"/>
        </w:numPr>
        <w:spacing w:after="80" w:line="276" w:lineRule="auto"/>
      </w:pPr>
      <w:r>
        <w:rPr>
          <w:color w:val="333333"/>
        </w:rPr>
        <w:t xml:space="preserve">Facilitated </w:t>
      </w:r>
      <w:r w:rsidR="00F01BA3">
        <w:rPr>
          <w:color w:val="333333"/>
        </w:rPr>
        <w:t>group interview</w:t>
      </w:r>
      <w:r>
        <w:rPr>
          <w:color w:val="333333"/>
        </w:rPr>
        <w:t xml:space="preserve"> discussion with employers and collaborators</w:t>
      </w:r>
    </w:p>
    <w:p w14:paraId="44925082" w14:textId="77777777" w:rsidR="00000732" w:rsidRDefault="00000000">
      <w:pPr>
        <w:pStyle w:val="ListParagraph"/>
        <w:numPr>
          <w:ilvl w:val="0"/>
          <w:numId w:val="3"/>
        </w:numPr>
        <w:spacing w:after="80" w:line="276" w:lineRule="auto"/>
      </w:pPr>
      <w:r>
        <w:rPr>
          <w:color w:val="333333"/>
        </w:rPr>
        <w:t>Interactive brainstorming activity (Nearpod) to generate improvement strategies</w:t>
      </w:r>
    </w:p>
    <w:p w14:paraId="3C2773C1" w14:textId="77777777" w:rsidR="00000732" w:rsidRDefault="00000000">
      <w:pPr>
        <w:pStyle w:val="ListParagraph"/>
        <w:numPr>
          <w:ilvl w:val="0"/>
          <w:numId w:val="3"/>
        </w:numPr>
        <w:spacing w:after="80" w:line="276" w:lineRule="auto"/>
      </w:pPr>
      <w:r>
        <w:rPr>
          <w:color w:val="333333"/>
        </w:rPr>
        <w:t>Documentation of participation through virtual platform attendance reports</w:t>
      </w:r>
    </w:p>
    <w:p w14:paraId="50907580" w14:textId="77777777" w:rsidR="00000732" w:rsidRDefault="00000000">
      <w:pPr>
        <w:spacing w:after="160" w:line="276" w:lineRule="auto"/>
        <w:jc w:val="both"/>
      </w:pPr>
      <w:r>
        <w:rPr>
          <w:color w:val="333333"/>
        </w:rPr>
        <w:t>Stakeholders were not only consulted but actively engaged in the analysis of program data and collaborative identification of programmatic priorities, demonstrating meaningful involvement aligned with CAEP Standard R5.3.</w:t>
      </w:r>
    </w:p>
    <w:p w14:paraId="50F886CA" w14:textId="77777777" w:rsidR="00000732" w:rsidRDefault="00000000">
      <w:pPr>
        <w:pStyle w:val="Heading1"/>
        <w:pBdr>
          <w:bottom w:val="single" w:sz="4" w:space="4" w:color="2E75B6"/>
        </w:pBdr>
      </w:pPr>
      <w:r>
        <w:t>4. Data Reviewed and Analysis (R4.2)</w:t>
      </w:r>
    </w:p>
    <w:p w14:paraId="6957E4AC" w14:textId="77777777" w:rsidR="00000732" w:rsidRDefault="00000000">
      <w:pPr>
        <w:spacing w:after="160" w:line="276" w:lineRule="auto"/>
        <w:jc w:val="both"/>
      </w:pPr>
      <w:r>
        <w:rPr>
          <w:color w:val="333333"/>
        </w:rPr>
        <w:t>Stakeholders reviewed data from the EPP Completer Survey, which indicated high levels of candidate self-perceived preparedness.</w:t>
      </w:r>
    </w:p>
    <w:p w14:paraId="6BEC8CE6" w14:textId="77777777" w:rsidR="00000732" w:rsidRDefault="00000000">
      <w:pPr>
        <w:spacing w:after="160" w:line="276" w:lineRule="auto"/>
        <w:jc w:val="both"/>
      </w:pPr>
      <w:r>
        <w:rPr>
          <w:color w:val="333333"/>
        </w:rPr>
        <w:t>Through guided discussion, external stakeholders provided critical feedback highlighting the need to strengthen applied teaching competencies, particularly in:</w:t>
      </w:r>
    </w:p>
    <w:p w14:paraId="6CE63B67" w14:textId="77777777" w:rsidR="00000732" w:rsidRDefault="00000000">
      <w:pPr>
        <w:pStyle w:val="ListParagraph"/>
        <w:numPr>
          <w:ilvl w:val="0"/>
          <w:numId w:val="4"/>
        </w:numPr>
        <w:spacing w:after="80" w:line="276" w:lineRule="auto"/>
      </w:pPr>
      <w:r>
        <w:rPr>
          <w:color w:val="333333"/>
        </w:rPr>
        <w:t>Classroom management</w:t>
      </w:r>
    </w:p>
    <w:p w14:paraId="5781D52E" w14:textId="77777777" w:rsidR="00000732" w:rsidRDefault="00000000">
      <w:pPr>
        <w:pStyle w:val="ListParagraph"/>
        <w:numPr>
          <w:ilvl w:val="0"/>
          <w:numId w:val="4"/>
        </w:numPr>
        <w:spacing w:after="80" w:line="276" w:lineRule="auto"/>
      </w:pPr>
      <w:r>
        <w:rPr>
          <w:color w:val="333333"/>
        </w:rPr>
        <w:t>Differentiated instruction</w:t>
      </w:r>
    </w:p>
    <w:p w14:paraId="2ADC1BCE" w14:textId="77777777" w:rsidR="00000732" w:rsidRDefault="00000000">
      <w:pPr>
        <w:pStyle w:val="ListParagraph"/>
        <w:numPr>
          <w:ilvl w:val="0"/>
          <w:numId w:val="4"/>
        </w:numPr>
        <w:spacing w:after="80" w:line="276" w:lineRule="auto"/>
      </w:pPr>
      <w:r>
        <w:rPr>
          <w:color w:val="333333"/>
        </w:rPr>
        <w:t>Special education practices</w:t>
      </w:r>
    </w:p>
    <w:p w14:paraId="59237C5C" w14:textId="77777777" w:rsidR="00000732" w:rsidRDefault="00000000">
      <w:pPr>
        <w:spacing w:after="160" w:line="276" w:lineRule="auto"/>
        <w:jc w:val="both"/>
      </w:pPr>
      <w:r>
        <w:rPr>
          <w:color w:val="333333"/>
        </w:rPr>
        <w:t>This process revealed a perception gap between candidate self-assessment and employer expectations, allowing the EPP to better understand how preparation translates into classroom performance.</w:t>
      </w:r>
    </w:p>
    <w:p w14:paraId="4166BD0C" w14:textId="675DBF5B" w:rsidR="00000732" w:rsidRDefault="0003239F">
      <w:pPr>
        <w:spacing w:after="160" w:line="276" w:lineRule="auto"/>
        <w:jc w:val="both"/>
      </w:pPr>
      <w:r>
        <w:t>This analysis provided critical insight into how candidate preparation translates into classroom effectiveness and student learning environments. T</w:t>
      </w:r>
      <w:r>
        <w:rPr>
          <w:color w:val="333333"/>
        </w:rPr>
        <w:t xml:space="preserve">his analysis directly responds to CAEP Standard R4.2 by incorporating employer feedback into program evaluation. </w:t>
      </w:r>
    </w:p>
    <w:p w14:paraId="1D6F5738" w14:textId="77777777" w:rsidR="00000732" w:rsidRDefault="00000000">
      <w:pPr>
        <w:pStyle w:val="Heading1"/>
        <w:pBdr>
          <w:bottom w:val="single" w:sz="4" w:space="4" w:color="2E75B6"/>
        </w:pBdr>
      </w:pPr>
      <w:r>
        <w:t>5. Key Stakeholder Input</w:t>
      </w:r>
    </w:p>
    <w:p w14:paraId="5371BB5C" w14:textId="77777777" w:rsidR="00000732" w:rsidRDefault="00000000">
      <w:pPr>
        <w:pStyle w:val="Heading2"/>
      </w:pPr>
      <w:r>
        <w:t>Strengths Identified</w:t>
      </w:r>
    </w:p>
    <w:p w14:paraId="4D2DA538" w14:textId="77777777" w:rsidR="00000732" w:rsidRDefault="00000000">
      <w:pPr>
        <w:spacing w:after="160" w:line="276" w:lineRule="auto"/>
        <w:jc w:val="both"/>
      </w:pPr>
      <w:r>
        <w:rPr>
          <w:color w:val="333333"/>
        </w:rPr>
        <w:t>Stakeholders reported that program completers:</w:t>
      </w:r>
    </w:p>
    <w:p w14:paraId="6B28254A" w14:textId="77777777" w:rsidR="00000732" w:rsidRDefault="00000000">
      <w:pPr>
        <w:pStyle w:val="ListParagraph"/>
        <w:numPr>
          <w:ilvl w:val="0"/>
          <w:numId w:val="5"/>
        </w:numPr>
        <w:spacing w:after="80" w:line="276" w:lineRule="auto"/>
      </w:pPr>
      <w:r>
        <w:rPr>
          <w:color w:val="333333"/>
        </w:rPr>
        <w:t>Demonstrate strong theoretical and pedagogical foundations</w:t>
      </w:r>
    </w:p>
    <w:p w14:paraId="7E2B80D0" w14:textId="77777777" w:rsidR="00000732" w:rsidRDefault="00000000">
      <w:pPr>
        <w:pStyle w:val="ListParagraph"/>
        <w:numPr>
          <w:ilvl w:val="0"/>
          <w:numId w:val="5"/>
        </w:numPr>
        <w:spacing w:after="80" w:line="276" w:lineRule="auto"/>
      </w:pPr>
      <w:r>
        <w:rPr>
          <w:color w:val="333333"/>
        </w:rPr>
        <w:t>Exhibit professional commitment and ethical practice</w:t>
      </w:r>
    </w:p>
    <w:p w14:paraId="65F9B235" w14:textId="77777777" w:rsidR="00000732" w:rsidRDefault="00000000">
      <w:pPr>
        <w:pStyle w:val="ListParagraph"/>
        <w:numPr>
          <w:ilvl w:val="0"/>
          <w:numId w:val="5"/>
        </w:numPr>
        <w:spacing w:after="80" w:line="276" w:lineRule="auto"/>
      </w:pPr>
      <w:r>
        <w:rPr>
          <w:color w:val="333333"/>
        </w:rPr>
        <w:t>Benefit from effective mentoring during clinical experiences</w:t>
      </w:r>
    </w:p>
    <w:p w14:paraId="373684D4" w14:textId="77777777" w:rsidR="00000732" w:rsidRDefault="00000000">
      <w:pPr>
        <w:pStyle w:val="Heading2"/>
      </w:pPr>
      <w:r>
        <w:t>Areas for Improvement</w:t>
      </w:r>
    </w:p>
    <w:p w14:paraId="4192903B" w14:textId="77777777" w:rsidR="00000732" w:rsidRDefault="00000000">
      <w:pPr>
        <w:spacing w:after="160" w:line="276" w:lineRule="auto"/>
        <w:jc w:val="both"/>
      </w:pPr>
      <w:r>
        <w:rPr>
          <w:color w:val="333333"/>
        </w:rPr>
        <w:t>Stakeholders identified priority areas for program enhancement, including:</w:t>
      </w:r>
    </w:p>
    <w:p w14:paraId="2EB411C2" w14:textId="77777777" w:rsidR="00000732" w:rsidRDefault="00000000">
      <w:pPr>
        <w:pStyle w:val="ListParagraph"/>
        <w:numPr>
          <w:ilvl w:val="0"/>
          <w:numId w:val="6"/>
        </w:numPr>
        <w:spacing w:after="80" w:line="276" w:lineRule="auto"/>
      </w:pPr>
      <w:r>
        <w:rPr>
          <w:color w:val="333333"/>
        </w:rPr>
        <w:lastRenderedPageBreak/>
        <w:t>Strengthening lesson planning and alignment with curriculum</w:t>
      </w:r>
    </w:p>
    <w:p w14:paraId="4D1A0FA6" w14:textId="77777777" w:rsidR="00000732" w:rsidRDefault="00000000">
      <w:pPr>
        <w:pStyle w:val="ListParagraph"/>
        <w:numPr>
          <w:ilvl w:val="0"/>
          <w:numId w:val="6"/>
        </w:numPr>
        <w:spacing w:after="80" w:line="276" w:lineRule="auto"/>
      </w:pPr>
      <w:r>
        <w:rPr>
          <w:color w:val="333333"/>
        </w:rPr>
        <w:t>Expanding preparation in differentiated instruction</w:t>
      </w:r>
    </w:p>
    <w:p w14:paraId="7BD73AC7" w14:textId="77777777" w:rsidR="00000732" w:rsidRDefault="00000000">
      <w:pPr>
        <w:pStyle w:val="ListParagraph"/>
        <w:numPr>
          <w:ilvl w:val="0"/>
          <w:numId w:val="6"/>
        </w:numPr>
        <w:spacing w:after="80" w:line="276" w:lineRule="auto"/>
      </w:pPr>
      <w:r>
        <w:rPr>
          <w:color w:val="333333"/>
        </w:rPr>
        <w:t>Enhancing special education knowledge (e.g., autism, accommodations, behavior management)</w:t>
      </w:r>
    </w:p>
    <w:p w14:paraId="0AF6DE94" w14:textId="77777777" w:rsidR="00000732" w:rsidRDefault="00000000">
      <w:pPr>
        <w:pStyle w:val="ListParagraph"/>
        <w:numPr>
          <w:ilvl w:val="0"/>
          <w:numId w:val="6"/>
        </w:numPr>
        <w:spacing w:after="80" w:line="276" w:lineRule="auto"/>
      </w:pPr>
      <w:r>
        <w:rPr>
          <w:color w:val="333333"/>
        </w:rPr>
        <w:t>Increasing opportunities for applied practice and simulations</w:t>
      </w:r>
    </w:p>
    <w:p w14:paraId="3BC59807" w14:textId="77777777" w:rsidR="00000732" w:rsidRDefault="00000000">
      <w:pPr>
        <w:pStyle w:val="ListParagraph"/>
        <w:numPr>
          <w:ilvl w:val="0"/>
          <w:numId w:val="6"/>
        </w:numPr>
        <w:spacing w:after="80" w:line="276" w:lineRule="auto"/>
      </w:pPr>
      <w:r>
        <w:rPr>
          <w:color w:val="333333"/>
        </w:rPr>
        <w:t>Improving coordination between candidates and cooperating teachers</w:t>
      </w:r>
    </w:p>
    <w:p w14:paraId="26660A3A" w14:textId="77777777" w:rsidR="00000732" w:rsidRDefault="00000000">
      <w:pPr>
        <w:pStyle w:val="ListParagraph"/>
        <w:numPr>
          <w:ilvl w:val="0"/>
          <w:numId w:val="6"/>
        </w:numPr>
        <w:spacing w:after="80" w:line="276" w:lineRule="auto"/>
      </w:pPr>
      <w:r>
        <w:rPr>
          <w:color w:val="333333"/>
        </w:rPr>
        <w:t>Expanding use of instructional technology and digital tools</w:t>
      </w:r>
    </w:p>
    <w:p w14:paraId="33A32A10" w14:textId="77777777" w:rsidR="00000732" w:rsidRDefault="00000000">
      <w:pPr>
        <w:pStyle w:val="Heading1"/>
        <w:pBdr>
          <w:bottom w:val="single" w:sz="4" w:space="4" w:color="2E75B6"/>
        </w:pBdr>
      </w:pPr>
      <w:r>
        <w:t>6. Decisions and Programmatic Actions (R5.1 / R5.3)</w:t>
      </w:r>
    </w:p>
    <w:p w14:paraId="15917D3C" w14:textId="77777777" w:rsidR="00000732" w:rsidRDefault="00000000">
      <w:pPr>
        <w:spacing w:after="160" w:line="276" w:lineRule="auto"/>
        <w:jc w:val="both"/>
      </w:pPr>
      <w:r>
        <w:rPr>
          <w:color w:val="333333"/>
        </w:rPr>
        <w:t>As a result of stakeholder input, the EPP has initiated the following targeted program improvements:</w:t>
      </w:r>
    </w:p>
    <w:p w14:paraId="097E1CF9" w14:textId="77777777" w:rsidR="00000732" w:rsidRDefault="00000000">
      <w:pPr>
        <w:pStyle w:val="ListParagraph"/>
        <w:numPr>
          <w:ilvl w:val="0"/>
          <w:numId w:val="7"/>
        </w:numPr>
        <w:spacing w:after="80" w:line="276" w:lineRule="auto"/>
      </w:pPr>
      <w:r>
        <w:rPr>
          <w:color w:val="333333"/>
        </w:rPr>
        <w:t>Strengthening classroom management and differentiated instruction across methods courses</w:t>
      </w:r>
    </w:p>
    <w:p w14:paraId="462A3C72" w14:textId="77777777" w:rsidR="00000732" w:rsidRDefault="00000000">
      <w:pPr>
        <w:pStyle w:val="ListParagraph"/>
        <w:numPr>
          <w:ilvl w:val="0"/>
          <w:numId w:val="7"/>
        </w:numPr>
        <w:spacing w:after="80" w:line="276" w:lineRule="auto"/>
      </w:pPr>
      <w:r>
        <w:rPr>
          <w:color w:val="333333"/>
        </w:rPr>
        <w:t>Expanding and integrating special education content throughout the curriculum</w:t>
      </w:r>
    </w:p>
    <w:p w14:paraId="5D5DBFE6" w14:textId="77777777" w:rsidR="00000732" w:rsidRDefault="00000000">
      <w:pPr>
        <w:pStyle w:val="ListParagraph"/>
        <w:numPr>
          <w:ilvl w:val="0"/>
          <w:numId w:val="7"/>
        </w:numPr>
        <w:spacing w:after="80" w:line="276" w:lineRule="auto"/>
      </w:pPr>
      <w:r>
        <w:rPr>
          <w:color w:val="333333"/>
        </w:rPr>
        <w:t>Enhancing clinical and field experiences, including earlier and more diverse classroom exposure</w:t>
      </w:r>
    </w:p>
    <w:p w14:paraId="7097B644" w14:textId="77777777" w:rsidR="00000732" w:rsidRDefault="00000000">
      <w:pPr>
        <w:pStyle w:val="ListParagraph"/>
        <w:numPr>
          <w:ilvl w:val="0"/>
          <w:numId w:val="7"/>
        </w:numPr>
        <w:spacing w:after="80" w:line="276" w:lineRule="auto"/>
      </w:pPr>
      <w:r>
        <w:rPr>
          <w:color w:val="333333"/>
        </w:rPr>
        <w:t>Reinforcing candidate preparation in assessment design and data-informed instruction</w:t>
      </w:r>
    </w:p>
    <w:p w14:paraId="07383522" w14:textId="77777777" w:rsidR="00000732" w:rsidRDefault="00000000">
      <w:pPr>
        <w:pStyle w:val="ListParagraph"/>
        <w:numPr>
          <w:ilvl w:val="0"/>
          <w:numId w:val="7"/>
        </w:numPr>
        <w:spacing w:after="80" w:line="276" w:lineRule="auto"/>
      </w:pPr>
      <w:r>
        <w:rPr>
          <w:color w:val="333333"/>
        </w:rPr>
        <w:t>Improving alignment between coursework and classroom practice expectations</w:t>
      </w:r>
    </w:p>
    <w:p w14:paraId="125B1885" w14:textId="34816D39" w:rsidR="00000732" w:rsidRDefault="00000000">
      <w:pPr>
        <w:spacing w:after="160" w:line="276" w:lineRule="auto"/>
        <w:jc w:val="both"/>
      </w:pPr>
      <w:r>
        <w:rPr>
          <w:color w:val="333333"/>
        </w:rPr>
        <w:t>These actions demonstrate the systematic use of stakeholder input to inform programmatic decisions, consistent with CAEP Standards R5.1 and R5.3.</w:t>
      </w:r>
      <w:r w:rsidR="0003239F">
        <w:rPr>
          <w:color w:val="333333"/>
        </w:rPr>
        <w:t xml:space="preserve"> </w:t>
      </w:r>
      <w:r w:rsidR="0003239F">
        <w:t>Initial implementation of these improvements is currently underway, including revisions to course syllabi and integration of enhanced clinical practice components.</w:t>
      </w:r>
    </w:p>
    <w:p w14:paraId="4BC85E83" w14:textId="77777777" w:rsidR="00000732" w:rsidRDefault="00000000">
      <w:pPr>
        <w:pStyle w:val="Heading1"/>
        <w:pBdr>
          <w:bottom w:val="single" w:sz="4" w:space="4" w:color="2E75B6"/>
        </w:pBdr>
      </w:pPr>
      <w:r>
        <w:t>7. Impact on Continuous Improvement</w:t>
      </w:r>
    </w:p>
    <w:p w14:paraId="60DEAA45" w14:textId="077A335D" w:rsidR="00000732" w:rsidRDefault="00000000">
      <w:pPr>
        <w:spacing w:after="160" w:line="276" w:lineRule="auto"/>
        <w:jc w:val="both"/>
      </w:pPr>
      <w:r>
        <w:rPr>
          <w:color w:val="333333"/>
        </w:rPr>
        <w:t>This stakeholder engagement activity reflects a shift from initial data collection to a more mature, data-informed system in which stakeholder input is actively used to guide program improvement.</w:t>
      </w:r>
      <w:r w:rsidR="00667B23">
        <w:rPr>
          <w:color w:val="333333"/>
        </w:rPr>
        <w:t xml:space="preserve"> </w:t>
      </w:r>
      <w:r w:rsidR="00667B23">
        <w:t>Evidence of these changes will be monitored and evaluated through ongoing data collection and subsequent stakeholder feedback cycles.</w:t>
      </w:r>
    </w:p>
    <w:p w14:paraId="5936FB5F" w14:textId="77777777" w:rsidR="00000732" w:rsidRDefault="00000000">
      <w:pPr>
        <w:spacing w:after="160" w:line="276" w:lineRule="auto"/>
        <w:jc w:val="both"/>
      </w:pPr>
      <w:r>
        <w:rPr>
          <w:color w:val="333333"/>
        </w:rPr>
        <w:t>The process is embedded within the EPP’s Quality Assurance System and contributes to an ongoing continuous improvement cycle, including:</w:t>
      </w:r>
    </w:p>
    <w:p w14:paraId="2D565157" w14:textId="28C4CC77" w:rsidR="00000732" w:rsidRDefault="00000000">
      <w:pPr>
        <w:pStyle w:val="ListParagraph"/>
        <w:numPr>
          <w:ilvl w:val="0"/>
          <w:numId w:val="8"/>
        </w:numPr>
        <w:spacing w:after="80" w:line="276" w:lineRule="auto"/>
      </w:pPr>
      <w:r>
        <w:rPr>
          <w:color w:val="333333"/>
        </w:rPr>
        <w:t xml:space="preserve">Data collection (surveys and </w:t>
      </w:r>
      <w:r w:rsidR="00F01BA3">
        <w:rPr>
          <w:color w:val="333333"/>
        </w:rPr>
        <w:t>group interview</w:t>
      </w:r>
      <w:r>
        <w:rPr>
          <w:color w:val="333333"/>
        </w:rPr>
        <w:t>s)</w:t>
      </w:r>
    </w:p>
    <w:p w14:paraId="637B4AAC" w14:textId="77777777" w:rsidR="00000732" w:rsidRDefault="00000000">
      <w:pPr>
        <w:pStyle w:val="ListParagraph"/>
        <w:numPr>
          <w:ilvl w:val="0"/>
          <w:numId w:val="8"/>
        </w:numPr>
        <w:spacing w:after="80" w:line="276" w:lineRule="auto"/>
      </w:pPr>
      <w:r>
        <w:rPr>
          <w:color w:val="333333"/>
        </w:rPr>
        <w:t>Stakeholder analysis and feedback</w:t>
      </w:r>
    </w:p>
    <w:p w14:paraId="0BECA10C" w14:textId="77777777" w:rsidR="00000732" w:rsidRDefault="00000000">
      <w:pPr>
        <w:pStyle w:val="ListParagraph"/>
        <w:numPr>
          <w:ilvl w:val="0"/>
          <w:numId w:val="8"/>
        </w:numPr>
        <w:spacing w:after="80" w:line="276" w:lineRule="auto"/>
      </w:pPr>
      <w:r>
        <w:rPr>
          <w:color w:val="333333"/>
        </w:rPr>
        <w:t>Programmatic decision-making</w:t>
      </w:r>
    </w:p>
    <w:p w14:paraId="0FEB06CE" w14:textId="77777777" w:rsidR="00000732" w:rsidRDefault="00000000">
      <w:pPr>
        <w:pStyle w:val="ListParagraph"/>
        <w:numPr>
          <w:ilvl w:val="0"/>
          <w:numId w:val="8"/>
        </w:numPr>
        <w:spacing w:after="80" w:line="276" w:lineRule="auto"/>
      </w:pPr>
      <w:r>
        <w:rPr>
          <w:color w:val="333333"/>
        </w:rPr>
        <w:t>Implementation of targeted improvements</w:t>
      </w:r>
    </w:p>
    <w:p w14:paraId="4670BE37" w14:textId="77777777" w:rsidR="00000732" w:rsidRDefault="00000000">
      <w:pPr>
        <w:pStyle w:val="Heading1"/>
        <w:pBdr>
          <w:bottom w:val="single" w:sz="4" w:space="4" w:color="2E75B6"/>
        </w:pBdr>
      </w:pPr>
      <w:r>
        <w:lastRenderedPageBreak/>
        <w:t>8. Systematic Stakeholder Engagement (Sustainability)</w:t>
      </w:r>
    </w:p>
    <w:p w14:paraId="6E3E125A" w14:textId="0010B41A" w:rsidR="00000732" w:rsidRDefault="00000000">
      <w:pPr>
        <w:spacing w:after="160" w:line="276" w:lineRule="auto"/>
        <w:jc w:val="both"/>
      </w:pPr>
      <w:r>
        <w:rPr>
          <w:color w:val="333333"/>
        </w:rPr>
        <w:t xml:space="preserve">The EPP has established stakeholder engagement as a systematic and recurring process, conducted through scheduled meetings, </w:t>
      </w:r>
      <w:r w:rsidR="00F01BA3">
        <w:rPr>
          <w:color w:val="333333"/>
        </w:rPr>
        <w:t>group interview</w:t>
      </w:r>
      <w:r>
        <w:rPr>
          <w:color w:val="333333"/>
        </w:rPr>
        <w:t>s, and collaborative review sessions.</w:t>
      </w:r>
    </w:p>
    <w:p w14:paraId="5E5306BF" w14:textId="39655CB8" w:rsidR="00000732" w:rsidRDefault="0003239F">
      <w:pPr>
        <w:spacing w:after="160" w:line="276" w:lineRule="auto"/>
        <w:jc w:val="both"/>
      </w:pPr>
      <w:r>
        <w:t xml:space="preserve">These engagement activities are conducted at least once per academic year. </w:t>
      </w:r>
      <w:r>
        <w:rPr>
          <w:color w:val="333333"/>
        </w:rPr>
        <w:t>These efforts ensure sustained involvement of employers and external partners in program evaluation, design, and continuous improvement, strengthening alignment with CAEP Standards R4.2 and R5.3.</w:t>
      </w:r>
    </w:p>
    <w:p w14:paraId="3236B790" w14:textId="77777777" w:rsidR="00000732" w:rsidRDefault="00000000">
      <w:pPr>
        <w:pStyle w:val="Heading1"/>
        <w:pBdr>
          <w:bottom w:val="single" w:sz="4" w:space="4" w:color="2E75B6"/>
        </w:pBdr>
      </w:pPr>
      <w:r>
        <w:t>9. Supporting Artifacts</w:t>
      </w:r>
    </w:p>
    <w:p w14:paraId="782CD18C" w14:textId="1272D64F" w:rsidR="00000732" w:rsidRDefault="00F01BA3">
      <w:pPr>
        <w:pStyle w:val="ListParagraph"/>
        <w:numPr>
          <w:ilvl w:val="0"/>
          <w:numId w:val="9"/>
        </w:numPr>
        <w:spacing w:after="80" w:line="276" w:lineRule="auto"/>
      </w:pPr>
      <w:r>
        <w:rPr>
          <w:color w:val="333333"/>
        </w:rPr>
        <w:t>Group interview</w:t>
      </w:r>
      <w:r w:rsidR="00000000">
        <w:rPr>
          <w:color w:val="333333"/>
        </w:rPr>
        <w:t xml:space="preserve"> Meeting Minutes (October 22, 2025)</w:t>
      </w:r>
    </w:p>
    <w:p w14:paraId="6A6FD793" w14:textId="77777777" w:rsidR="00000732" w:rsidRDefault="00000000">
      <w:pPr>
        <w:pStyle w:val="ListParagraph"/>
        <w:numPr>
          <w:ilvl w:val="0"/>
          <w:numId w:val="9"/>
        </w:numPr>
        <w:spacing w:after="80" w:line="276" w:lineRule="auto"/>
      </w:pPr>
      <w:r>
        <w:rPr>
          <w:color w:val="333333"/>
        </w:rPr>
        <w:t>Stakeholder Presentation (Completer Survey Data)</w:t>
      </w:r>
    </w:p>
    <w:p w14:paraId="5FAE1C02" w14:textId="77777777" w:rsidR="00000732" w:rsidRDefault="00000000">
      <w:pPr>
        <w:pStyle w:val="ListParagraph"/>
        <w:numPr>
          <w:ilvl w:val="0"/>
          <w:numId w:val="9"/>
        </w:numPr>
        <w:spacing w:after="80" w:line="276" w:lineRule="auto"/>
      </w:pPr>
      <w:r>
        <w:rPr>
          <w:color w:val="333333"/>
        </w:rPr>
        <w:t>Nearpod Brainstorming Submissions (evidence of stakeholder input)</w:t>
      </w:r>
    </w:p>
    <w:p w14:paraId="3575715D" w14:textId="77777777" w:rsidR="00000732" w:rsidRDefault="00000000">
      <w:pPr>
        <w:pStyle w:val="ListParagraph"/>
        <w:numPr>
          <w:ilvl w:val="0"/>
          <w:numId w:val="9"/>
        </w:numPr>
        <w:spacing w:after="80" w:line="276" w:lineRule="auto"/>
      </w:pPr>
      <w:r>
        <w:rPr>
          <w:color w:val="333333"/>
        </w:rPr>
        <w:t>Attendance Report (virtual platform summary – anonymized)</w:t>
      </w:r>
    </w:p>
    <w:p w14:paraId="758AC131" w14:textId="77777777" w:rsidR="00000732" w:rsidRDefault="00000732">
      <w:pPr>
        <w:spacing w:after="80"/>
      </w:pPr>
    </w:p>
    <w:p w14:paraId="67226EC8" w14:textId="77777777" w:rsidR="00000732" w:rsidRDefault="00000000">
      <w:pPr>
        <w:pBdr>
          <w:top w:val="single" w:sz="4" w:space="8" w:color="B4C6E7"/>
        </w:pBdr>
        <w:spacing w:before="400"/>
        <w:jc w:val="center"/>
      </w:pPr>
      <w:r>
        <w:rPr>
          <w:i/>
          <w:iCs/>
          <w:color w:val="666666"/>
          <w:sz w:val="20"/>
          <w:szCs w:val="20"/>
        </w:rPr>
        <w:t>Note: Participant names have been omitted from this document as it is intended for online distribution.</w:t>
      </w:r>
    </w:p>
    <w:sectPr w:rsidR="0000073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79CD" w14:textId="77777777" w:rsidR="00C5048E" w:rsidRDefault="00C5048E">
      <w:r>
        <w:separator/>
      </w:r>
    </w:p>
  </w:endnote>
  <w:endnote w:type="continuationSeparator" w:id="0">
    <w:p w14:paraId="4B51AF42" w14:textId="77777777" w:rsidR="00C5048E" w:rsidRDefault="00C5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18F" w14:textId="77777777" w:rsidR="00000732" w:rsidRDefault="00000000">
    <w:pPr>
      <w:pBdr>
        <w:top w:val="single" w:sz="4" w:space="4" w:color="B4C6E7"/>
      </w:pBdr>
      <w:jc w:val="center"/>
    </w:pPr>
    <w:r>
      <w:rPr>
        <w:color w:val="999999"/>
        <w:sz w:val="16"/>
        <w:szCs w:val="16"/>
      </w:rPr>
      <w:t xml:space="preserve">Teacher Preparation Program – University of Puerto Rico at Mayagüez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802633">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3328" w14:textId="77777777" w:rsidR="00C5048E" w:rsidRDefault="00C5048E">
      <w:r>
        <w:separator/>
      </w:r>
    </w:p>
  </w:footnote>
  <w:footnote w:type="continuationSeparator" w:id="0">
    <w:p w14:paraId="4D61E104" w14:textId="77777777" w:rsidR="00C5048E" w:rsidRDefault="00C5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C9A1" w14:textId="77777777" w:rsidR="00000732" w:rsidRDefault="00000000">
    <w:pPr>
      <w:pBdr>
        <w:bottom w:val="single" w:sz="6" w:space="4" w:color="2E75B6"/>
      </w:pBdr>
      <w:tabs>
        <w:tab w:val="right" w:pos="9026"/>
      </w:tabs>
    </w:pPr>
    <w:r>
      <w:rPr>
        <w:b/>
        <w:bCs/>
        <w:color w:val="2E75B6"/>
        <w:sz w:val="18"/>
        <w:szCs w:val="18"/>
      </w:rPr>
      <w:t>CAEP Accreditation Evidence</w:t>
    </w:r>
    <w:r>
      <w:rPr>
        <w:color w:val="2E75B6"/>
        <w:sz w:val="18"/>
        <w:szCs w:val="18"/>
      </w:rPr>
      <w:tab/>
      <w:t>Evidence 5.3.X / R4.2 / R5.1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D41"/>
    <w:multiLevelType w:val="hybridMultilevel"/>
    <w:tmpl w:val="746003DC"/>
    <w:lvl w:ilvl="0" w:tplc="814E1DAC">
      <w:start w:val="1"/>
      <w:numFmt w:val="bullet"/>
      <w:lvlText w:val="●"/>
      <w:lvlJc w:val="left"/>
      <w:pPr>
        <w:ind w:left="720" w:hanging="360"/>
      </w:pPr>
    </w:lvl>
    <w:lvl w:ilvl="1" w:tplc="C330C0A4">
      <w:start w:val="1"/>
      <w:numFmt w:val="bullet"/>
      <w:lvlText w:val="○"/>
      <w:lvlJc w:val="left"/>
      <w:pPr>
        <w:ind w:left="1440" w:hanging="360"/>
      </w:pPr>
    </w:lvl>
    <w:lvl w:ilvl="2" w:tplc="0382E4E2">
      <w:start w:val="1"/>
      <w:numFmt w:val="bullet"/>
      <w:lvlText w:val="■"/>
      <w:lvlJc w:val="left"/>
      <w:pPr>
        <w:ind w:left="2160" w:hanging="360"/>
      </w:pPr>
    </w:lvl>
    <w:lvl w:ilvl="3" w:tplc="2F204E9C">
      <w:start w:val="1"/>
      <w:numFmt w:val="bullet"/>
      <w:lvlText w:val="●"/>
      <w:lvlJc w:val="left"/>
      <w:pPr>
        <w:ind w:left="2880" w:hanging="360"/>
      </w:pPr>
    </w:lvl>
    <w:lvl w:ilvl="4" w:tplc="21B2F4B4">
      <w:start w:val="1"/>
      <w:numFmt w:val="bullet"/>
      <w:lvlText w:val="○"/>
      <w:lvlJc w:val="left"/>
      <w:pPr>
        <w:ind w:left="3600" w:hanging="360"/>
      </w:pPr>
    </w:lvl>
    <w:lvl w:ilvl="5" w:tplc="501EF63C">
      <w:start w:val="1"/>
      <w:numFmt w:val="bullet"/>
      <w:lvlText w:val="■"/>
      <w:lvlJc w:val="left"/>
      <w:pPr>
        <w:ind w:left="4320" w:hanging="360"/>
      </w:pPr>
    </w:lvl>
    <w:lvl w:ilvl="6" w:tplc="0908F7AE">
      <w:start w:val="1"/>
      <w:numFmt w:val="bullet"/>
      <w:lvlText w:val="●"/>
      <w:lvlJc w:val="left"/>
      <w:pPr>
        <w:ind w:left="5040" w:hanging="360"/>
      </w:pPr>
    </w:lvl>
    <w:lvl w:ilvl="7" w:tplc="5AD86F42">
      <w:start w:val="1"/>
      <w:numFmt w:val="bullet"/>
      <w:lvlText w:val="●"/>
      <w:lvlJc w:val="left"/>
      <w:pPr>
        <w:ind w:left="5760" w:hanging="360"/>
      </w:pPr>
    </w:lvl>
    <w:lvl w:ilvl="8" w:tplc="C902EC6A">
      <w:start w:val="1"/>
      <w:numFmt w:val="bullet"/>
      <w:lvlText w:val="●"/>
      <w:lvlJc w:val="left"/>
      <w:pPr>
        <w:ind w:left="6480" w:hanging="360"/>
      </w:pPr>
    </w:lvl>
  </w:abstractNum>
  <w:abstractNum w:abstractNumId="1" w15:restartNumberingAfterBreak="0">
    <w:nsid w:val="056063EC"/>
    <w:multiLevelType w:val="hybridMultilevel"/>
    <w:tmpl w:val="3392E122"/>
    <w:lvl w:ilvl="0" w:tplc="8E2E1B3C">
      <w:start w:val="1"/>
      <w:numFmt w:val="bullet"/>
      <w:lvlText w:val="•"/>
      <w:lvlJc w:val="left"/>
      <w:pPr>
        <w:ind w:left="720" w:hanging="360"/>
      </w:pPr>
    </w:lvl>
    <w:lvl w:ilvl="1" w:tplc="20C8DCBE">
      <w:numFmt w:val="decimal"/>
      <w:lvlText w:val=""/>
      <w:lvlJc w:val="left"/>
    </w:lvl>
    <w:lvl w:ilvl="2" w:tplc="20B2AEFC">
      <w:numFmt w:val="decimal"/>
      <w:lvlText w:val=""/>
      <w:lvlJc w:val="left"/>
    </w:lvl>
    <w:lvl w:ilvl="3" w:tplc="9B22020E">
      <w:numFmt w:val="decimal"/>
      <w:lvlText w:val=""/>
      <w:lvlJc w:val="left"/>
    </w:lvl>
    <w:lvl w:ilvl="4" w:tplc="54747E48">
      <w:numFmt w:val="decimal"/>
      <w:lvlText w:val=""/>
      <w:lvlJc w:val="left"/>
    </w:lvl>
    <w:lvl w:ilvl="5" w:tplc="03228D94">
      <w:numFmt w:val="decimal"/>
      <w:lvlText w:val=""/>
      <w:lvlJc w:val="left"/>
    </w:lvl>
    <w:lvl w:ilvl="6" w:tplc="0B841CA6">
      <w:numFmt w:val="decimal"/>
      <w:lvlText w:val=""/>
      <w:lvlJc w:val="left"/>
    </w:lvl>
    <w:lvl w:ilvl="7" w:tplc="597090C0">
      <w:numFmt w:val="decimal"/>
      <w:lvlText w:val=""/>
      <w:lvlJc w:val="left"/>
    </w:lvl>
    <w:lvl w:ilvl="8" w:tplc="85F203C0">
      <w:numFmt w:val="decimal"/>
      <w:lvlText w:val=""/>
      <w:lvlJc w:val="left"/>
    </w:lvl>
  </w:abstractNum>
  <w:abstractNum w:abstractNumId="2" w15:restartNumberingAfterBreak="0">
    <w:nsid w:val="1AED3820"/>
    <w:multiLevelType w:val="hybridMultilevel"/>
    <w:tmpl w:val="B636D378"/>
    <w:lvl w:ilvl="0" w:tplc="2DDA4BE4">
      <w:start w:val="1"/>
      <w:numFmt w:val="bullet"/>
      <w:lvlText w:val="•"/>
      <w:lvlJc w:val="left"/>
      <w:pPr>
        <w:ind w:left="720" w:hanging="360"/>
      </w:pPr>
    </w:lvl>
    <w:lvl w:ilvl="1" w:tplc="FF4A3EB6">
      <w:numFmt w:val="decimal"/>
      <w:lvlText w:val=""/>
      <w:lvlJc w:val="left"/>
    </w:lvl>
    <w:lvl w:ilvl="2" w:tplc="2620DF1C">
      <w:numFmt w:val="decimal"/>
      <w:lvlText w:val=""/>
      <w:lvlJc w:val="left"/>
    </w:lvl>
    <w:lvl w:ilvl="3" w:tplc="D23E25AA">
      <w:numFmt w:val="decimal"/>
      <w:lvlText w:val=""/>
      <w:lvlJc w:val="left"/>
    </w:lvl>
    <w:lvl w:ilvl="4" w:tplc="432430F2">
      <w:numFmt w:val="decimal"/>
      <w:lvlText w:val=""/>
      <w:lvlJc w:val="left"/>
    </w:lvl>
    <w:lvl w:ilvl="5" w:tplc="42E2453C">
      <w:numFmt w:val="decimal"/>
      <w:lvlText w:val=""/>
      <w:lvlJc w:val="left"/>
    </w:lvl>
    <w:lvl w:ilvl="6" w:tplc="6F547F4E">
      <w:numFmt w:val="decimal"/>
      <w:lvlText w:val=""/>
      <w:lvlJc w:val="left"/>
    </w:lvl>
    <w:lvl w:ilvl="7" w:tplc="3F8079EC">
      <w:numFmt w:val="decimal"/>
      <w:lvlText w:val=""/>
      <w:lvlJc w:val="left"/>
    </w:lvl>
    <w:lvl w:ilvl="8" w:tplc="F976EF0E">
      <w:numFmt w:val="decimal"/>
      <w:lvlText w:val=""/>
      <w:lvlJc w:val="left"/>
    </w:lvl>
  </w:abstractNum>
  <w:abstractNum w:abstractNumId="3" w15:restartNumberingAfterBreak="0">
    <w:nsid w:val="389606B5"/>
    <w:multiLevelType w:val="hybridMultilevel"/>
    <w:tmpl w:val="0E786E96"/>
    <w:lvl w:ilvl="0" w:tplc="CBC03938">
      <w:start w:val="1"/>
      <w:numFmt w:val="bullet"/>
      <w:lvlText w:val="•"/>
      <w:lvlJc w:val="left"/>
      <w:pPr>
        <w:ind w:left="720" w:hanging="360"/>
      </w:pPr>
    </w:lvl>
    <w:lvl w:ilvl="1" w:tplc="97480CF0">
      <w:numFmt w:val="decimal"/>
      <w:lvlText w:val=""/>
      <w:lvlJc w:val="left"/>
    </w:lvl>
    <w:lvl w:ilvl="2" w:tplc="C0644A32">
      <w:numFmt w:val="decimal"/>
      <w:lvlText w:val=""/>
      <w:lvlJc w:val="left"/>
    </w:lvl>
    <w:lvl w:ilvl="3" w:tplc="CB762722">
      <w:numFmt w:val="decimal"/>
      <w:lvlText w:val=""/>
      <w:lvlJc w:val="left"/>
    </w:lvl>
    <w:lvl w:ilvl="4" w:tplc="A84257BE">
      <w:numFmt w:val="decimal"/>
      <w:lvlText w:val=""/>
      <w:lvlJc w:val="left"/>
    </w:lvl>
    <w:lvl w:ilvl="5" w:tplc="945CF9AE">
      <w:numFmt w:val="decimal"/>
      <w:lvlText w:val=""/>
      <w:lvlJc w:val="left"/>
    </w:lvl>
    <w:lvl w:ilvl="6" w:tplc="43928C1A">
      <w:numFmt w:val="decimal"/>
      <w:lvlText w:val=""/>
      <w:lvlJc w:val="left"/>
    </w:lvl>
    <w:lvl w:ilvl="7" w:tplc="4EC65B36">
      <w:numFmt w:val="decimal"/>
      <w:lvlText w:val=""/>
      <w:lvlJc w:val="left"/>
    </w:lvl>
    <w:lvl w:ilvl="8" w:tplc="9316347E">
      <w:numFmt w:val="decimal"/>
      <w:lvlText w:val=""/>
      <w:lvlJc w:val="left"/>
    </w:lvl>
  </w:abstractNum>
  <w:abstractNum w:abstractNumId="4" w15:restartNumberingAfterBreak="0">
    <w:nsid w:val="393B3D6F"/>
    <w:multiLevelType w:val="hybridMultilevel"/>
    <w:tmpl w:val="F50210F2"/>
    <w:lvl w:ilvl="0" w:tplc="711841E6">
      <w:start w:val="1"/>
      <w:numFmt w:val="bullet"/>
      <w:lvlText w:val="•"/>
      <w:lvlJc w:val="left"/>
      <w:pPr>
        <w:ind w:left="720" w:hanging="360"/>
      </w:pPr>
    </w:lvl>
    <w:lvl w:ilvl="1" w:tplc="7B98FB7E">
      <w:numFmt w:val="decimal"/>
      <w:lvlText w:val=""/>
      <w:lvlJc w:val="left"/>
    </w:lvl>
    <w:lvl w:ilvl="2" w:tplc="C9101990">
      <w:numFmt w:val="decimal"/>
      <w:lvlText w:val=""/>
      <w:lvlJc w:val="left"/>
    </w:lvl>
    <w:lvl w:ilvl="3" w:tplc="EBEC68A6">
      <w:numFmt w:val="decimal"/>
      <w:lvlText w:val=""/>
      <w:lvlJc w:val="left"/>
    </w:lvl>
    <w:lvl w:ilvl="4" w:tplc="2C96C710">
      <w:numFmt w:val="decimal"/>
      <w:lvlText w:val=""/>
      <w:lvlJc w:val="left"/>
    </w:lvl>
    <w:lvl w:ilvl="5" w:tplc="3244D396">
      <w:numFmt w:val="decimal"/>
      <w:lvlText w:val=""/>
      <w:lvlJc w:val="left"/>
    </w:lvl>
    <w:lvl w:ilvl="6" w:tplc="D512B1C0">
      <w:numFmt w:val="decimal"/>
      <w:lvlText w:val=""/>
      <w:lvlJc w:val="left"/>
    </w:lvl>
    <w:lvl w:ilvl="7" w:tplc="C08678A6">
      <w:numFmt w:val="decimal"/>
      <w:lvlText w:val=""/>
      <w:lvlJc w:val="left"/>
    </w:lvl>
    <w:lvl w:ilvl="8" w:tplc="DC0C77B2">
      <w:numFmt w:val="decimal"/>
      <w:lvlText w:val=""/>
      <w:lvlJc w:val="left"/>
    </w:lvl>
  </w:abstractNum>
  <w:abstractNum w:abstractNumId="5" w15:restartNumberingAfterBreak="0">
    <w:nsid w:val="48A4116D"/>
    <w:multiLevelType w:val="hybridMultilevel"/>
    <w:tmpl w:val="48F40B72"/>
    <w:lvl w:ilvl="0" w:tplc="61B4CF04">
      <w:start w:val="1"/>
      <w:numFmt w:val="bullet"/>
      <w:lvlText w:val="•"/>
      <w:lvlJc w:val="left"/>
      <w:pPr>
        <w:ind w:left="720" w:hanging="360"/>
      </w:pPr>
    </w:lvl>
    <w:lvl w:ilvl="1" w:tplc="8A22D31A">
      <w:numFmt w:val="decimal"/>
      <w:lvlText w:val=""/>
      <w:lvlJc w:val="left"/>
    </w:lvl>
    <w:lvl w:ilvl="2" w:tplc="29CC053A">
      <w:numFmt w:val="decimal"/>
      <w:lvlText w:val=""/>
      <w:lvlJc w:val="left"/>
    </w:lvl>
    <w:lvl w:ilvl="3" w:tplc="DED07564">
      <w:numFmt w:val="decimal"/>
      <w:lvlText w:val=""/>
      <w:lvlJc w:val="left"/>
    </w:lvl>
    <w:lvl w:ilvl="4" w:tplc="ECB44FFE">
      <w:numFmt w:val="decimal"/>
      <w:lvlText w:val=""/>
      <w:lvlJc w:val="left"/>
    </w:lvl>
    <w:lvl w:ilvl="5" w:tplc="3914054C">
      <w:numFmt w:val="decimal"/>
      <w:lvlText w:val=""/>
      <w:lvlJc w:val="left"/>
    </w:lvl>
    <w:lvl w:ilvl="6" w:tplc="A392973C">
      <w:numFmt w:val="decimal"/>
      <w:lvlText w:val=""/>
      <w:lvlJc w:val="left"/>
    </w:lvl>
    <w:lvl w:ilvl="7" w:tplc="7C30A9C6">
      <w:numFmt w:val="decimal"/>
      <w:lvlText w:val=""/>
      <w:lvlJc w:val="left"/>
    </w:lvl>
    <w:lvl w:ilvl="8" w:tplc="99106364">
      <w:numFmt w:val="decimal"/>
      <w:lvlText w:val=""/>
      <w:lvlJc w:val="left"/>
    </w:lvl>
  </w:abstractNum>
  <w:abstractNum w:abstractNumId="6" w15:restartNumberingAfterBreak="0">
    <w:nsid w:val="4AF42910"/>
    <w:multiLevelType w:val="hybridMultilevel"/>
    <w:tmpl w:val="00E013A8"/>
    <w:lvl w:ilvl="0" w:tplc="80104982">
      <w:start w:val="1"/>
      <w:numFmt w:val="bullet"/>
      <w:lvlText w:val="•"/>
      <w:lvlJc w:val="left"/>
      <w:pPr>
        <w:ind w:left="720" w:hanging="360"/>
      </w:pPr>
    </w:lvl>
    <w:lvl w:ilvl="1" w:tplc="635080D6">
      <w:numFmt w:val="decimal"/>
      <w:lvlText w:val=""/>
      <w:lvlJc w:val="left"/>
    </w:lvl>
    <w:lvl w:ilvl="2" w:tplc="1EB0BCA4">
      <w:numFmt w:val="decimal"/>
      <w:lvlText w:val=""/>
      <w:lvlJc w:val="left"/>
    </w:lvl>
    <w:lvl w:ilvl="3" w:tplc="886AC5C4">
      <w:numFmt w:val="decimal"/>
      <w:lvlText w:val=""/>
      <w:lvlJc w:val="left"/>
    </w:lvl>
    <w:lvl w:ilvl="4" w:tplc="8D183AD6">
      <w:numFmt w:val="decimal"/>
      <w:lvlText w:val=""/>
      <w:lvlJc w:val="left"/>
    </w:lvl>
    <w:lvl w:ilvl="5" w:tplc="83A48ABA">
      <w:numFmt w:val="decimal"/>
      <w:lvlText w:val=""/>
      <w:lvlJc w:val="left"/>
    </w:lvl>
    <w:lvl w:ilvl="6" w:tplc="9E9EB23A">
      <w:numFmt w:val="decimal"/>
      <w:lvlText w:val=""/>
      <w:lvlJc w:val="left"/>
    </w:lvl>
    <w:lvl w:ilvl="7" w:tplc="F62C9F0A">
      <w:numFmt w:val="decimal"/>
      <w:lvlText w:val=""/>
      <w:lvlJc w:val="left"/>
    </w:lvl>
    <w:lvl w:ilvl="8" w:tplc="F432C4D8">
      <w:numFmt w:val="decimal"/>
      <w:lvlText w:val=""/>
      <w:lvlJc w:val="left"/>
    </w:lvl>
  </w:abstractNum>
  <w:abstractNum w:abstractNumId="7" w15:restartNumberingAfterBreak="0">
    <w:nsid w:val="5EC507D1"/>
    <w:multiLevelType w:val="hybridMultilevel"/>
    <w:tmpl w:val="3F7E59AC"/>
    <w:lvl w:ilvl="0" w:tplc="8AE4C3DE">
      <w:start w:val="1"/>
      <w:numFmt w:val="bullet"/>
      <w:lvlText w:val="•"/>
      <w:lvlJc w:val="left"/>
      <w:pPr>
        <w:ind w:left="720" w:hanging="360"/>
      </w:pPr>
    </w:lvl>
    <w:lvl w:ilvl="1" w:tplc="B96AB1EE">
      <w:numFmt w:val="decimal"/>
      <w:lvlText w:val=""/>
      <w:lvlJc w:val="left"/>
    </w:lvl>
    <w:lvl w:ilvl="2" w:tplc="8D64C794">
      <w:numFmt w:val="decimal"/>
      <w:lvlText w:val=""/>
      <w:lvlJc w:val="left"/>
    </w:lvl>
    <w:lvl w:ilvl="3" w:tplc="16EC9DE6">
      <w:numFmt w:val="decimal"/>
      <w:lvlText w:val=""/>
      <w:lvlJc w:val="left"/>
    </w:lvl>
    <w:lvl w:ilvl="4" w:tplc="24BA728C">
      <w:numFmt w:val="decimal"/>
      <w:lvlText w:val=""/>
      <w:lvlJc w:val="left"/>
    </w:lvl>
    <w:lvl w:ilvl="5" w:tplc="D85CF5E4">
      <w:numFmt w:val="decimal"/>
      <w:lvlText w:val=""/>
      <w:lvlJc w:val="left"/>
    </w:lvl>
    <w:lvl w:ilvl="6" w:tplc="C57E2764">
      <w:numFmt w:val="decimal"/>
      <w:lvlText w:val=""/>
      <w:lvlJc w:val="left"/>
    </w:lvl>
    <w:lvl w:ilvl="7" w:tplc="7EA05DA2">
      <w:numFmt w:val="decimal"/>
      <w:lvlText w:val=""/>
      <w:lvlJc w:val="left"/>
    </w:lvl>
    <w:lvl w:ilvl="8" w:tplc="65387C32">
      <w:numFmt w:val="decimal"/>
      <w:lvlText w:val=""/>
      <w:lvlJc w:val="left"/>
    </w:lvl>
  </w:abstractNum>
  <w:abstractNum w:abstractNumId="8" w15:restartNumberingAfterBreak="0">
    <w:nsid w:val="63A915E4"/>
    <w:multiLevelType w:val="hybridMultilevel"/>
    <w:tmpl w:val="05E6B2E4"/>
    <w:lvl w:ilvl="0" w:tplc="8C3AEF3E">
      <w:start w:val="1"/>
      <w:numFmt w:val="bullet"/>
      <w:lvlText w:val="•"/>
      <w:lvlJc w:val="left"/>
      <w:pPr>
        <w:ind w:left="720" w:hanging="360"/>
      </w:pPr>
    </w:lvl>
    <w:lvl w:ilvl="1" w:tplc="C5D62208">
      <w:numFmt w:val="decimal"/>
      <w:lvlText w:val=""/>
      <w:lvlJc w:val="left"/>
    </w:lvl>
    <w:lvl w:ilvl="2" w:tplc="EA94E07E">
      <w:numFmt w:val="decimal"/>
      <w:lvlText w:val=""/>
      <w:lvlJc w:val="left"/>
    </w:lvl>
    <w:lvl w:ilvl="3" w:tplc="DC9A7926">
      <w:numFmt w:val="decimal"/>
      <w:lvlText w:val=""/>
      <w:lvlJc w:val="left"/>
    </w:lvl>
    <w:lvl w:ilvl="4" w:tplc="30FCAE88">
      <w:numFmt w:val="decimal"/>
      <w:lvlText w:val=""/>
      <w:lvlJc w:val="left"/>
    </w:lvl>
    <w:lvl w:ilvl="5" w:tplc="25DCBDAC">
      <w:numFmt w:val="decimal"/>
      <w:lvlText w:val=""/>
      <w:lvlJc w:val="left"/>
    </w:lvl>
    <w:lvl w:ilvl="6" w:tplc="239433B8">
      <w:numFmt w:val="decimal"/>
      <w:lvlText w:val=""/>
      <w:lvlJc w:val="left"/>
    </w:lvl>
    <w:lvl w:ilvl="7" w:tplc="83E6B234">
      <w:numFmt w:val="decimal"/>
      <w:lvlText w:val=""/>
      <w:lvlJc w:val="left"/>
    </w:lvl>
    <w:lvl w:ilvl="8" w:tplc="E6CCC838">
      <w:numFmt w:val="decimal"/>
      <w:lvlText w:val=""/>
      <w:lvlJc w:val="left"/>
    </w:lvl>
  </w:abstractNum>
  <w:num w:numId="1" w16cid:durableId="550773585">
    <w:abstractNumId w:val="0"/>
    <w:lvlOverride w:ilvl="0">
      <w:startOverride w:val="1"/>
    </w:lvlOverride>
  </w:num>
  <w:num w:numId="2" w16cid:durableId="804394234">
    <w:abstractNumId w:val="7"/>
    <w:lvlOverride w:ilvl="0">
      <w:startOverride w:val="1"/>
    </w:lvlOverride>
  </w:num>
  <w:num w:numId="3" w16cid:durableId="1241913991">
    <w:abstractNumId w:val="6"/>
    <w:lvlOverride w:ilvl="0">
      <w:startOverride w:val="1"/>
    </w:lvlOverride>
  </w:num>
  <w:num w:numId="4" w16cid:durableId="899290349">
    <w:abstractNumId w:val="3"/>
    <w:lvlOverride w:ilvl="0">
      <w:startOverride w:val="1"/>
    </w:lvlOverride>
  </w:num>
  <w:num w:numId="5" w16cid:durableId="990600387">
    <w:abstractNumId w:val="2"/>
    <w:lvlOverride w:ilvl="0">
      <w:startOverride w:val="1"/>
    </w:lvlOverride>
  </w:num>
  <w:num w:numId="6" w16cid:durableId="496189701">
    <w:abstractNumId w:val="4"/>
    <w:lvlOverride w:ilvl="0">
      <w:startOverride w:val="1"/>
    </w:lvlOverride>
  </w:num>
  <w:num w:numId="7" w16cid:durableId="24798689">
    <w:abstractNumId w:val="8"/>
    <w:lvlOverride w:ilvl="0">
      <w:startOverride w:val="1"/>
    </w:lvlOverride>
  </w:num>
  <w:num w:numId="8" w16cid:durableId="428474605">
    <w:abstractNumId w:val="1"/>
    <w:lvlOverride w:ilvl="0">
      <w:startOverride w:val="1"/>
    </w:lvlOverride>
  </w:num>
  <w:num w:numId="9" w16cid:durableId="200654673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32"/>
    <w:rsid w:val="00000732"/>
    <w:rsid w:val="0003239F"/>
    <w:rsid w:val="00667B23"/>
    <w:rsid w:val="00802633"/>
    <w:rsid w:val="008C0EC9"/>
    <w:rsid w:val="00B9038B"/>
    <w:rsid w:val="00BA740D"/>
    <w:rsid w:val="00C5048E"/>
    <w:rsid w:val="00F01BA3"/>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465F1F3C"/>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28"/>
      <w:szCs w:val="28"/>
    </w:rPr>
  </w:style>
  <w:style w:type="paragraph" w:styleId="Heading2">
    <w:name w:val="heading 2"/>
    <w:uiPriority w:val="9"/>
    <w:unhideWhenUsed/>
    <w:qFormat/>
    <w:pPr>
      <w:spacing w:before="280" w:after="16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5299</Characters>
  <Application>Microsoft Office Word</Application>
  <DocSecurity>0</DocSecurity>
  <Lines>165</Lines>
  <Paragraphs>136</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Janette Ferrer Montes</cp:lastModifiedBy>
  <cp:revision>2</cp:revision>
  <dcterms:created xsi:type="dcterms:W3CDTF">2026-04-27T21:59:00Z</dcterms:created>
  <dcterms:modified xsi:type="dcterms:W3CDTF">2026-04-27T21:59:00Z</dcterms:modified>
</cp:coreProperties>
</file>