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225F" w14:textId="77777777" w:rsidR="009B0ED7" w:rsidRDefault="009B0ED7">
      <w:pPr>
        <w:spacing w:before="40" w:after="40"/>
      </w:pPr>
    </w:p>
    <w:p w14:paraId="76066DA6" w14:textId="77777777" w:rsidR="009B0ED7" w:rsidRDefault="009B0ED7">
      <w:pPr>
        <w:spacing w:before="40" w:after="40"/>
      </w:pPr>
    </w:p>
    <w:p w14:paraId="6FA98305" w14:textId="77777777" w:rsidR="009B0ED7" w:rsidRDefault="009B0ED7">
      <w:pPr>
        <w:spacing w:before="40" w:after="40"/>
      </w:pPr>
    </w:p>
    <w:p w14:paraId="55145179" w14:textId="77777777" w:rsidR="009B0ED7" w:rsidRDefault="009B0ED7">
      <w:pPr>
        <w:spacing w:before="40" w:after="40"/>
      </w:pPr>
    </w:p>
    <w:p w14:paraId="07867623" w14:textId="77777777" w:rsidR="009B0ED7" w:rsidRDefault="009B0ED7">
      <w:pPr>
        <w:spacing w:before="40" w:after="40"/>
      </w:pPr>
    </w:p>
    <w:p w14:paraId="4C6ED4C3" w14:textId="77777777" w:rsidR="009B0ED7" w:rsidRDefault="00000000">
      <w:pPr>
        <w:spacing w:after="200"/>
        <w:jc w:val="center"/>
      </w:pPr>
      <w:r>
        <w:rPr>
          <w:b/>
          <w:bCs/>
          <w:color w:val="2E75B6"/>
          <w:sz w:val="22"/>
          <w:szCs w:val="22"/>
        </w:rPr>
        <w:t>INFORME 3: TRIANGULATED ANALYSIS</w:t>
      </w:r>
    </w:p>
    <w:p w14:paraId="52E51195" w14:textId="77777777" w:rsidR="009B0ED7" w:rsidRDefault="009B0ED7">
      <w:pPr>
        <w:spacing w:before="40" w:after="40"/>
      </w:pPr>
    </w:p>
    <w:p w14:paraId="38E06BAD" w14:textId="77777777" w:rsidR="009B0ED7" w:rsidRDefault="00000000">
      <w:pPr>
        <w:spacing w:after="100"/>
        <w:jc w:val="center"/>
      </w:pPr>
      <w:r>
        <w:rPr>
          <w:b/>
          <w:bCs/>
          <w:color w:val="1F3864"/>
          <w:sz w:val="40"/>
          <w:szCs w:val="40"/>
        </w:rPr>
        <w:t>Triangulated Survey Analysis</w:t>
      </w:r>
    </w:p>
    <w:p w14:paraId="148FB0EE" w14:textId="77777777" w:rsidR="009B0ED7" w:rsidRDefault="00000000">
      <w:pPr>
        <w:spacing w:after="80"/>
        <w:jc w:val="center"/>
      </w:pPr>
      <w:r>
        <w:rPr>
          <w:color w:val="2E75B6"/>
          <w:sz w:val="28"/>
          <w:szCs w:val="28"/>
        </w:rPr>
        <w:t>Completers • Alumni • Employers</w:t>
      </w:r>
    </w:p>
    <w:p w14:paraId="67834F35" w14:textId="77777777" w:rsidR="009B0ED7" w:rsidRDefault="009B0ED7">
      <w:pPr>
        <w:spacing w:before="40" w:after="40"/>
      </w:pPr>
    </w:p>
    <w:p w14:paraId="33829FA9" w14:textId="77777777" w:rsidR="009B0ED7" w:rsidRDefault="009B0ED7">
      <w:pPr>
        <w:pBdr>
          <w:bottom w:val="single" w:sz="6" w:space="1" w:color="2E75B6"/>
        </w:pBdr>
        <w:jc w:val="center"/>
      </w:pPr>
    </w:p>
    <w:p w14:paraId="3533F674" w14:textId="77777777" w:rsidR="009B0ED7" w:rsidRDefault="009B0ED7">
      <w:pPr>
        <w:spacing w:before="40" w:after="40"/>
      </w:pPr>
    </w:p>
    <w:p w14:paraId="258294BD" w14:textId="77777777" w:rsidR="009B0ED7" w:rsidRDefault="00000000">
      <w:pPr>
        <w:spacing w:after="80"/>
        <w:jc w:val="center"/>
      </w:pPr>
      <w:r>
        <w:rPr>
          <w:color w:val="404040"/>
          <w:sz w:val="24"/>
          <w:szCs w:val="24"/>
        </w:rPr>
        <w:t>Teacher Preparation Program (PPM)</w:t>
      </w:r>
    </w:p>
    <w:p w14:paraId="1D90CCE9" w14:textId="77777777" w:rsidR="009B0ED7" w:rsidRDefault="00000000">
      <w:pPr>
        <w:spacing w:after="80"/>
        <w:jc w:val="center"/>
      </w:pPr>
      <w:r>
        <w:rPr>
          <w:color w:val="404040"/>
          <w:sz w:val="24"/>
          <w:szCs w:val="24"/>
        </w:rPr>
        <w:t>University of Puerto Rico at Mayagüez</w:t>
      </w:r>
    </w:p>
    <w:p w14:paraId="5711CD9A" w14:textId="77777777" w:rsidR="009B0ED7" w:rsidRDefault="009B0ED7">
      <w:pPr>
        <w:spacing w:before="40" w:after="40"/>
      </w:pPr>
    </w:p>
    <w:p w14:paraId="6109674F" w14:textId="77777777" w:rsidR="009B0ED7" w:rsidRDefault="00000000">
      <w:pPr>
        <w:spacing w:after="80"/>
        <w:jc w:val="center"/>
      </w:pPr>
      <w:r>
        <w:rPr>
          <w:b/>
          <w:bCs/>
          <w:color w:val="1F3864"/>
          <w:sz w:val="24"/>
          <w:szCs w:val="24"/>
        </w:rPr>
        <w:t>Academic Year 2024–2025</w:t>
      </w:r>
    </w:p>
    <w:p w14:paraId="40CD1DC9" w14:textId="77777777" w:rsidR="009B0ED7" w:rsidRDefault="009B0ED7">
      <w:pPr>
        <w:spacing w:before="40" w:after="40"/>
      </w:pPr>
    </w:p>
    <w:p w14:paraId="17FC8AED" w14:textId="77777777" w:rsidR="009B0ED7" w:rsidRDefault="009B0ED7">
      <w:pPr>
        <w:spacing w:before="40" w:after="40"/>
      </w:pPr>
    </w:p>
    <w:p w14:paraId="4E6A76F2" w14:textId="77777777" w:rsidR="009B0ED7" w:rsidRDefault="009B0ED7">
      <w:pPr>
        <w:spacing w:before="40" w:after="40"/>
      </w:pPr>
    </w:p>
    <w:p w14:paraId="6561FB60" w14:textId="77777777" w:rsidR="009B0ED7" w:rsidRDefault="00000000">
      <w:pPr>
        <w:spacing w:after="40"/>
        <w:jc w:val="center"/>
      </w:pPr>
      <w:r>
        <w:rPr>
          <w:i/>
          <w:iCs/>
          <w:color w:val="404040"/>
          <w:sz w:val="18"/>
          <w:szCs w:val="18"/>
        </w:rPr>
        <w:t>Prepared for the Council for the Accreditation of Educator Preparation (CAEP)</w:t>
      </w:r>
    </w:p>
    <w:p w14:paraId="7AF58D6E" w14:textId="77777777" w:rsidR="009B0ED7" w:rsidRDefault="00000000">
      <w:pPr>
        <w:spacing w:after="40"/>
        <w:jc w:val="center"/>
      </w:pPr>
      <w:r>
        <w:rPr>
          <w:i/>
          <w:iCs/>
          <w:color w:val="404040"/>
          <w:sz w:val="18"/>
          <w:szCs w:val="18"/>
        </w:rPr>
        <w:t>Evidence for CAEP Standards 1, 4, and 5</w:t>
      </w:r>
    </w:p>
    <w:p w14:paraId="393FA2F5" w14:textId="77777777" w:rsidR="009B0ED7" w:rsidRDefault="00000000">
      <w:pPr>
        <w:jc w:val="center"/>
      </w:pPr>
      <w:r>
        <w:rPr>
          <w:i/>
          <w:iCs/>
          <w:color w:val="2E75B6"/>
          <w:sz w:val="18"/>
          <w:szCs w:val="18"/>
        </w:rPr>
        <w:t>All data reported anonymously</w:t>
      </w:r>
    </w:p>
    <w:p w14:paraId="595B5D5B" w14:textId="77777777" w:rsidR="009B0ED7" w:rsidRDefault="009B0ED7">
      <w:pPr>
        <w:sectPr w:rsidR="009B0ED7">
          <w:pgSz w:w="12240" w:h="15840"/>
          <w:pgMar w:top="1440" w:right="1440" w:bottom="1440" w:left="1440" w:header="708" w:footer="708" w:gutter="0"/>
          <w:cols w:space="720"/>
          <w:docGrid w:linePitch="360"/>
        </w:sectPr>
      </w:pPr>
    </w:p>
    <w:p w14:paraId="2119496C" w14:textId="77777777" w:rsidR="009B0ED7" w:rsidRDefault="00000000">
      <w:pPr>
        <w:pStyle w:val="Heading1"/>
      </w:pPr>
      <w:r>
        <w:lastRenderedPageBreak/>
        <w:t>1. Purpose and Rationale</w:t>
      </w:r>
    </w:p>
    <w:p w14:paraId="62227425" w14:textId="77777777" w:rsidR="009B0ED7" w:rsidRDefault="00000000">
      <w:pPr>
        <w:spacing w:before="80" w:after="80" w:line="276" w:lineRule="auto"/>
      </w:pPr>
      <w:r>
        <w:rPr>
          <w:color w:val="404040"/>
        </w:rPr>
        <w:t>This report presents a triangulated analysis of three complementary data sources collected by the Teacher Preparation Program (PPM) at the University of Puerto Rico at Mayagüez as part of its Quality Assurance System (QAS). Triangulation — the use of multiple data sources to corroborate findings — is a cornerstone of CAEP’s evidence expectations and strengthens the validity, reliability, and credibility of conclusions about program quality and impact.</w:t>
      </w:r>
    </w:p>
    <w:p w14:paraId="5ECEAD52" w14:textId="77777777" w:rsidR="009B0ED7" w:rsidRDefault="00000000">
      <w:pPr>
        <w:spacing w:before="80" w:after="80" w:line="276" w:lineRule="auto"/>
      </w:pPr>
      <w:r>
        <w:rPr>
          <w:color w:val="404040"/>
        </w:rPr>
        <w:t>By cross-referencing the perceptions of completers (at exit), alumni (post-graduation), and employers (external stakeholders), the EPP identifies patterns that are consistent across stakeholder groups — confirming areas of genuine strength — as well as convergent areas for improvement that warrant targeted program action. This analysis provides evidence aligned with CAEP Standard 1 (Content and Pedagogical Knowledge), Standard 4 (Program Impact), and Standard 5 (Provider Quality, Continuous Improvement, and Capacity).</w:t>
      </w:r>
    </w:p>
    <w:p w14:paraId="39DC02A0" w14:textId="77777777" w:rsidR="009B0ED7" w:rsidRDefault="00000000">
      <w:pPr>
        <w:pStyle w:val="Heading1"/>
      </w:pPr>
      <w:r>
        <w:t>2. Data Sources</w:t>
      </w:r>
    </w:p>
    <w:p w14:paraId="485D73D0" w14:textId="77777777" w:rsidR="009B0ED7" w:rsidRDefault="00000000">
      <w:pPr>
        <w:spacing w:before="80" w:after="80" w:line="276" w:lineRule="auto"/>
      </w:pPr>
      <w:r>
        <w:rPr>
          <w:color w:val="404040"/>
        </w:rPr>
        <w:t>The three survey instruments share a common framework grounded in the InTASC Model Core Teaching Standards and CAEP Standards. While item wording differs to reflect each stakeholder’s perspective (self-assessment for completers/alumni vs. external evaluation for employers), all instruments assess the same core competency areas, enabling meaningful cross-source comparison.</w:t>
      </w:r>
    </w:p>
    <w:p w14:paraId="4430DB89" w14:textId="77777777" w:rsidR="009B0ED7" w:rsidRDefault="009B0ED7">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00"/>
        <w:gridCol w:w="1700"/>
        <w:gridCol w:w="1800"/>
        <w:gridCol w:w="1820"/>
      </w:tblGrid>
      <w:tr w:rsidR="009B0ED7" w14:paraId="5E8D4D8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16302F8" w14:textId="77777777" w:rsidR="009B0ED7" w:rsidRDefault="00000000">
            <w:pPr>
              <w:jc w:val="center"/>
            </w:pPr>
            <w:r>
              <w:rPr>
                <w:b/>
                <w:bCs/>
                <w:color w:val="FFFFFF"/>
                <w:sz w:val="17"/>
                <w:szCs w:val="17"/>
              </w:rPr>
              <w:t>Instrument</w:t>
            </w:r>
          </w:p>
        </w:tc>
        <w:tc>
          <w:tcPr>
            <w:tcW w:w="17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E75A2A8" w14:textId="77777777" w:rsidR="009B0ED7" w:rsidRDefault="00000000">
            <w:pPr>
              <w:jc w:val="center"/>
            </w:pPr>
            <w:r>
              <w:rPr>
                <w:b/>
                <w:bCs/>
                <w:color w:val="FFFFFF"/>
                <w:sz w:val="17"/>
                <w:szCs w:val="17"/>
              </w:rPr>
              <w:t>Respondents</w:t>
            </w:r>
          </w:p>
        </w:tc>
        <w:tc>
          <w:tcPr>
            <w:tcW w:w="17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1EDFA92" w14:textId="77777777" w:rsidR="009B0ED7" w:rsidRDefault="00000000">
            <w:pPr>
              <w:jc w:val="center"/>
            </w:pPr>
            <w:r>
              <w:rPr>
                <w:b/>
                <w:bCs/>
                <w:color w:val="FFFFFF"/>
                <w:sz w:val="17"/>
                <w:szCs w:val="17"/>
              </w:rPr>
              <w:t>n</w:t>
            </w:r>
          </w:p>
        </w:tc>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1B29054" w14:textId="77777777" w:rsidR="009B0ED7" w:rsidRDefault="00000000">
            <w:pPr>
              <w:jc w:val="center"/>
            </w:pPr>
            <w:r>
              <w:rPr>
                <w:b/>
                <w:bCs/>
                <w:color w:val="FFFFFF"/>
                <w:sz w:val="17"/>
                <w:szCs w:val="17"/>
              </w:rPr>
              <w:t>Scale</w:t>
            </w:r>
          </w:p>
        </w:tc>
        <w:tc>
          <w:tcPr>
            <w:tcW w:w="18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A579F77" w14:textId="77777777" w:rsidR="009B0ED7" w:rsidRDefault="00000000">
            <w:pPr>
              <w:jc w:val="center"/>
            </w:pPr>
            <w:r>
              <w:rPr>
                <w:b/>
                <w:bCs/>
                <w:color w:val="FFFFFF"/>
                <w:sz w:val="17"/>
                <w:szCs w:val="17"/>
              </w:rPr>
              <w:t>Overall Mean</w:t>
            </w:r>
          </w:p>
        </w:tc>
      </w:tr>
      <w:tr w:rsidR="009B0ED7" w14:paraId="5369D0D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E32D52" w14:textId="77777777" w:rsidR="009B0ED7" w:rsidRDefault="00000000">
            <w:pPr>
              <w:spacing w:before="20" w:after="20"/>
            </w:pPr>
            <w:r>
              <w:rPr>
                <w:color w:val="404040"/>
                <w:sz w:val="17"/>
                <w:szCs w:val="17"/>
              </w:rPr>
              <w:t>Completer Exit Survey</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4E8C5D" w14:textId="77777777" w:rsidR="009B0ED7" w:rsidRDefault="00000000">
            <w:pPr>
              <w:spacing w:before="20" w:after="20"/>
            </w:pPr>
            <w:r>
              <w:rPr>
                <w:color w:val="404040"/>
                <w:sz w:val="17"/>
                <w:szCs w:val="17"/>
              </w:rPr>
              <w:t>Graduating candidates</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6BA314" w14:textId="77777777" w:rsidR="009B0ED7" w:rsidRDefault="00000000">
            <w:pPr>
              <w:spacing w:before="20" w:after="20"/>
              <w:jc w:val="center"/>
            </w:pPr>
            <w:r>
              <w:rPr>
                <w:color w:val="404040"/>
                <w:sz w:val="17"/>
                <w:szCs w:val="17"/>
              </w:rPr>
              <w:t>25</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5C0132" w14:textId="77777777" w:rsidR="009B0ED7" w:rsidRDefault="00000000">
            <w:pPr>
              <w:spacing w:before="20" w:after="20"/>
              <w:jc w:val="center"/>
            </w:pPr>
            <w:r>
              <w:rPr>
                <w:color w:val="404040"/>
                <w:sz w:val="17"/>
                <w:szCs w:val="17"/>
              </w:rPr>
              <w:t>1–4 (preparedness)</w:t>
            </w:r>
          </w:p>
        </w:tc>
        <w:tc>
          <w:tcPr>
            <w:tcW w:w="18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A6A737" w14:textId="77777777" w:rsidR="009B0ED7" w:rsidRDefault="00000000">
            <w:pPr>
              <w:spacing w:before="20" w:after="20"/>
              <w:jc w:val="center"/>
            </w:pPr>
            <w:r>
              <w:rPr>
                <w:b/>
                <w:bCs/>
                <w:color w:val="404040"/>
                <w:sz w:val="17"/>
                <w:szCs w:val="17"/>
              </w:rPr>
              <w:t>3.87</w:t>
            </w:r>
          </w:p>
        </w:tc>
      </w:tr>
      <w:tr w:rsidR="009B0ED7" w14:paraId="24FD556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D7D4BC8" w14:textId="77777777" w:rsidR="009B0ED7" w:rsidRDefault="00000000">
            <w:pPr>
              <w:spacing w:before="20" w:after="20"/>
            </w:pPr>
            <w:r>
              <w:rPr>
                <w:color w:val="404040"/>
                <w:sz w:val="17"/>
                <w:szCs w:val="17"/>
              </w:rPr>
              <w:t>Alumni Follow-Up Survey</w:t>
            </w:r>
          </w:p>
        </w:tc>
        <w:tc>
          <w:tcPr>
            <w:tcW w:w="17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AD0E74F" w14:textId="77777777" w:rsidR="009B0ED7" w:rsidRDefault="00000000">
            <w:pPr>
              <w:spacing w:before="20" w:after="20"/>
            </w:pPr>
            <w:r>
              <w:rPr>
                <w:color w:val="404040"/>
                <w:sz w:val="17"/>
                <w:szCs w:val="17"/>
              </w:rPr>
              <w:t>Program graduates (2021–2025)</w:t>
            </w:r>
          </w:p>
        </w:tc>
        <w:tc>
          <w:tcPr>
            <w:tcW w:w="17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46AF9E" w14:textId="77777777" w:rsidR="009B0ED7" w:rsidRDefault="00000000">
            <w:pPr>
              <w:spacing w:before="20" w:after="20"/>
              <w:jc w:val="center"/>
            </w:pPr>
            <w:r>
              <w:rPr>
                <w:color w:val="404040"/>
                <w:sz w:val="17"/>
                <w:szCs w:val="17"/>
              </w:rPr>
              <w:t>12</w:t>
            </w:r>
          </w:p>
        </w:tc>
        <w:tc>
          <w:tcPr>
            <w:tcW w:w="18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1CC2C39" w14:textId="77777777" w:rsidR="009B0ED7" w:rsidRDefault="00000000">
            <w:pPr>
              <w:spacing w:before="20" w:after="20"/>
              <w:jc w:val="center"/>
            </w:pPr>
            <w:r>
              <w:rPr>
                <w:color w:val="404040"/>
                <w:sz w:val="17"/>
                <w:szCs w:val="17"/>
              </w:rPr>
              <w:t>1–4 (preparedness)</w:t>
            </w:r>
          </w:p>
        </w:tc>
        <w:tc>
          <w:tcPr>
            <w:tcW w:w="18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0C948DE" w14:textId="77777777" w:rsidR="009B0ED7" w:rsidRDefault="00000000">
            <w:pPr>
              <w:spacing w:before="20" w:after="20"/>
              <w:jc w:val="center"/>
            </w:pPr>
            <w:r>
              <w:rPr>
                <w:b/>
                <w:bCs/>
                <w:color w:val="404040"/>
                <w:sz w:val="17"/>
                <w:szCs w:val="17"/>
              </w:rPr>
              <w:t>3.81</w:t>
            </w:r>
          </w:p>
        </w:tc>
      </w:tr>
      <w:tr w:rsidR="009B0ED7" w14:paraId="79E6D93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C20159" w14:textId="77777777" w:rsidR="009B0ED7" w:rsidRDefault="00000000">
            <w:pPr>
              <w:spacing w:before="20" w:after="20"/>
            </w:pPr>
            <w:r>
              <w:rPr>
                <w:color w:val="404040"/>
                <w:sz w:val="17"/>
                <w:szCs w:val="17"/>
              </w:rPr>
              <w:t>Employer Survey</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BA7E43" w14:textId="77777777" w:rsidR="009B0ED7" w:rsidRDefault="00000000">
            <w:pPr>
              <w:spacing w:before="20" w:after="20"/>
            </w:pPr>
            <w:r>
              <w:rPr>
                <w:color w:val="404040"/>
                <w:sz w:val="17"/>
                <w:szCs w:val="17"/>
              </w:rPr>
              <w:t>School principals and supervisors</w:t>
            </w:r>
          </w:p>
        </w:tc>
        <w:tc>
          <w:tcPr>
            <w:tcW w:w="17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38A9C64" w14:textId="77777777" w:rsidR="009B0ED7" w:rsidRDefault="00000000">
            <w:pPr>
              <w:spacing w:before="20" w:after="20"/>
              <w:jc w:val="center"/>
            </w:pPr>
            <w:r>
              <w:rPr>
                <w:color w:val="404040"/>
                <w:sz w:val="17"/>
                <w:szCs w:val="17"/>
              </w:rPr>
              <w:t>11</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9E902E" w14:textId="77777777" w:rsidR="009B0ED7" w:rsidRDefault="00000000">
            <w:pPr>
              <w:spacing w:before="20" w:after="20"/>
              <w:jc w:val="center"/>
            </w:pPr>
            <w:r>
              <w:rPr>
                <w:color w:val="404040"/>
                <w:sz w:val="17"/>
                <w:szCs w:val="17"/>
              </w:rPr>
              <w:t>1–4 (expectations)</w:t>
            </w:r>
          </w:p>
        </w:tc>
        <w:tc>
          <w:tcPr>
            <w:tcW w:w="18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0E051D" w14:textId="77777777" w:rsidR="009B0ED7" w:rsidRDefault="00000000">
            <w:pPr>
              <w:spacing w:before="20" w:after="20"/>
              <w:jc w:val="center"/>
            </w:pPr>
            <w:r>
              <w:rPr>
                <w:b/>
                <w:bCs/>
                <w:color w:val="404040"/>
                <w:sz w:val="17"/>
                <w:szCs w:val="17"/>
              </w:rPr>
              <w:t>3.30</w:t>
            </w:r>
          </w:p>
        </w:tc>
      </w:tr>
    </w:tbl>
    <w:p w14:paraId="2826F45C" w14:textId="77777777" w:rsidR="009B0ED7" w:rsidRDefault="009B0ED7">
      <w:pPr>
        <w:spacing w:before="40" w:after="40"/>
      </w:pPr>
    </w:p>
    <w:p w14:paraId="797932E1" w14:textId="77777777" w:rsidR="009B0ED7" w:rsidRDefault="00000000">
      <w:pPr>
        <w:spacing w:before="80" w:after="80" w:line="276" w:lineRule="auto"/>
      </w:pPr>
      <w:r>
        <w:rPr>
          <w:color w:val="404040"/>
        </w:rPr>
        <w:t>The combined dataset represents 48 stakeholder perspectives across three distinct vantage points: self-perception at program exit, retrospective self-assessment after professional experience, and external evaluation by supervisors in P–12 school settings.</w:t>
      </w:r>
    </w:p>
    <w:p w14:paraId="39A1CA30" w14:textId="77777777" w:rsidR="009B0ED7" w:rsidRDefault="00000000">
      <w:pPr>
        <w:spacing w:before="80" w:after="80" w:line="276" w:lineRule="auto"/>
      </w:pPr>
      <w:r>
        <w:rPr>
          <w:b/>
          <w:bCs/>
          <w:color w:val="404040"/>
        </w:rPr>
        <w:t xml:space="preserve">Important note on scale interpretation: </w:t>
      </w:r>
      <w:r>
        <w:rPr>
          <w:color w:val="404040"/>
        </w:rPr>
        <w:t>The completer and alumni surveys use a preparedness scale (1–4), while the employer survey uses an expectations scale (1–4). Employer ratings of 3.00 (“Meets Expectations”) represent a strong outcome equivalent to adequate professional performance. Direct numerical comparison across instruments should be interpreted with this distinction in mind.</w:t>
      </w:r>
    </w:p>
    <w:p w14:paraId="0ED67539" w14:textId="77777777" w:rsidR="009B0ED7" w:rsidRDefault="00000000">
      <w:r>
        <w:br w:type="page"/>
      </w:r>
    </w:p>
    <w:p w14:paraId="545BC0C1" w14:textId="77777777" w:rsidR="009B0ED7" w:rsidRDefault="00000000">
      <w:pPr>
        <w:pStyle w:val="Heading1"/>
      </w:pPr>
      <w:r>
        <w:lastRenderedPageBreak/>
        <w:t>3. Convergent Findings: Areas of Strength</w:t>
      </w:r>
    </w:p>
    <w:p w14:paraId="5EFE9D07" w14:textId="77777777" w:rsidR="009B0ED7" w:rsidRDefault="00000000">
      <w:pPr>
        <w:spacing w:before="80" w:after="80" w:line="276" w:lineRule="auto"/>
      </w:pPr>
      <w:r>
        <w:rPr>
          <w:color w:val="404040"/>
        </w:rPr>
        <w:t>The following areas of strength are confirmed by at least two of the three data sources, providing robust evidence of program effectiveness.</w:t>
      </w:r>
    </w:p>
    <w:p w14:paraId="68DB0B7A" w14:textId="77777777" w:rsidR="009B0ED7" w:rsidRDefault="00000000">
      <w:pPr>
        <w:pStyle w:val="Heading2"/>
      </w:pPr>
      <w:r>
        <w:t>3.1 Learning Environment and Positive Relationships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9B0ED7" w14:paraId="5C3F8CA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65443C7" w14:textId="77777777" w:rsidR="009B0ED7" w:rsidRDefault="00000000">
            <w:pPr>
              <w:jc w:val="center"/>
            </w:pPr>
            <w:r>
              <w:rPr>
                <w:b/>
                <w:bCs/>
                <w:color w:val="FFFFFF"/>
                <w:sz w:val="17"/>
                <w:szCs w:val="17"/>
              </w:rPr>
              <w:t>Source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9B8F7D1" w14:textId="77777777" w:rsidR="009B0ED7" w:rsidRDefault="00000000">
            <w:pPr>
              <w:jc w:val="center"/>
            </w:pPr>
            <w:r>
              <w:rPr>
                <w:b/>
                <w:bCs/>
                <w:color w:val="FFFFFF"/>
                <w:sz w:val="17"/>
                <w:szCs w:val="17"/>
              </w:rPr>
              <w:t>Indicator</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807F48E" w14:textId="77777777" w:rsidR="009B0ED7" w:rsidRDefault="00000000">
            <w:pPr>
              <w:jc w:val="center"/>
            </w:pPr>
            <w:r>
              <w:rPr>
                <w:b/>
                <w:bCs/>
                <w:color w:val="FFFFFF"/>
                <w:sz w:val="17"/>
                <w:szCs w:val="17"/>
              </w:rPr>
              <w:t>Score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43DA714" w14:textId="77777777" w:rsidR="009B0ED7" w:rsidRDefault="00000000">
            <w:pPr>
              <w:jc w:val="center"/>
            </w:pPr>
            <w:r>
              <w:rPr>
                <w:b/>
                <w:bCs/>
                <w:color w:val="FFFFFF"/>
                <w:sz w:val="17"/>
                <w:szCs w:val="17"/>
              </w:rPr>
              <w:t>Level</w:t>
            </w:r>
          </w:p>
        </w:tc>
      </w:tr>
      <w:tr w:rsidR="009B0ED7" w14:paraId="4C10E15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0382BE"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BB5C9B" w14:textId="77777777" w:rsidR="009B0ED7" w:rsidRDefault="00000000">
            <w:pPr>
              <w:spacing w:before="20" w:after="20"/>
            </w:pPr>
            <w:r>
              <w:rPr>
                <w:color w:val="404040"/>
                <w:sz w:val="17"/>
                <w:szCs w:val="17"/>
              </w:rPr>
              <w:t>Positive relationships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DC9F3E" w14:textId="77777777" w:rsidR="009B0ED7" w:rsidRDefault="00000000">
            <w:pPr>
              <w:spacing w:before="20" w:after="20"/>
              <w:jc w:val="center"/>
            </w:pPr>
            <w:r>
              <w:rPr>
                <w:color w:val="404040"/>
                <w:sz w:val="17"/>
                <w:szCs w:val="17"/>
              </w:rPr>
              <w:t>4.00</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D5EDCF" w14:textId="77777777" w:rsidR="009B0ED7" w:rsidRDefault="00000000">
            <w:pPr>
              <w:spacing w:before="20" w:after="20"/>
              <w:jc w:val="center"/>
            </w:pPr>
            <w:r>
              <w:rPr>
                <w:color w:val="404040"/>
                <w:sz w:val="17"/>
                <w:szCs w:val="17"/>
              </w:rPr>
              <w:t>100% acceptable</w:t>
            </w:r>
          </w:p>
        </w:tc>
      </w:tr>
      <w:tr w:rsidR="009B0ED7" w14:paraId="2EFBBD9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EA1707E"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26559DB" w14:textId="77777777" w:rsidR="009B0ED7" w:rsidRDefault="00000000">
            <w:pPr>
              <w:spacing w:before="20" w:after="20"/>
            </w:pPr>
            <w:r>
              <w:rPr>
                <w:color w:val="404040"/>
                <w:sz w:val="17"/>
                <w:szCs w:val="17"/>
              </w:rPr>
              <w:t>Positive learning environment</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534F65C" w14:textId="77777777" w:rsidR="009B0ED7" w:rsidRDefault="00000000">
            <w:pPr>
              <w:spacing w:before="20" w:after="20"/>
              <w:jc w:val="center"/>
            </w:pPr>
            <w:r>
              <w:rPr>
                <w:color w:val="404040"/>
                <w:sz w:val="17"/>
                <w:szCs w:val="17"/>
              </w:rPr>
              <w:t>3.88</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DBEC0F" w14:textId="77777777" w:rsidR="009B0ED7" w:rsidRDefault="00000000">
            <w:pPr>
              <w:spacing w:before="20" w:after="20"/>
              <w:jc w:val="center"/>
            </w:pPr>
            <w:r>
              <w:rPr>
                <w:color w:val="404040"/>
                <w:sz w:val="17"/>
                <w:szCs w:val="17"/>
              </w:rPr>
              <w:t>100% acceptable</w:t>
            </w:r>
          </w:p>
        </w:tc>
      </w:tr>
      <w:tr w:rsidR="009B0ED7" w14:paraId="31342C1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A5F26D" w14:textId="77777777" w:rsidR="009B0ED7" w:rsidRDefault="00000000">
            <w:pPr>
              <w:spacing w:before="20" w:after="20"/>
            </w:pPr>
            <w:r>
              <w:rPr>
                <w:color w:val="404040"/>
                <w:sz w:val="17"/>
                <w:szCs w:val="17"/>
              </w:rPr>
              <w:t>Alumni</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51F087" w14:textId="77777777" w:rsidR="009B0ED7" w:rsidRDefault="00000000">
            <w:pPr>
              <w:spacing w:before="20" w:after="20"/>
            </w:pPr>
            <w:r>
              <w:rPr>
                <w:color w:val="404040"/>
                <w:sz w:val="17"/>
                <w:szCs w:val="17"/>
              </w:rPr>
              <w:t>Facilitating collaboration</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8535F9" w14:textId="77777777" w:rsidR="009B0ED7" w:rsidRDefault="00000000">
            <w:pPr>
              <w:spacing w:before="20" w:after="20"/>
              <w:jc w:val="center"/>
            </w:pPr>
            <w:r>
              <w:rPr>
                <w:color w:val="404040"/>
                <w:sz w:val="17"/>
                <w:szCs w:val="17"/>
              </w:rPr>
              <w:t>4.00</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745D82" w14:textId="77777777" w:rsidR="009B0ED7" w:rsidRDefault="00000000">
            <w:pPr>
              <w:spacing w:before="20" w:after="20"/>
              <w:jc w:val="center"/>
            </w:pPr>
            <w:r>
              <w:rPr>
                <w:color w:val="404040"/>
                <w:sz w:val="17"/>
                <w:szCs w:val="17"/>
              </w:rPr>
              <w:t>100% acceptable</w:t>
            </w:r>
          </w:p>
        </w:tc>
      </w:tr>
      <w:tr w:rsidR="009B0ED7" w14:paraId="53F1263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98BCBAA" w14:textId="77777777" w:rsidR="009B0ED7" w:rsidRDefault="00000000">
            <w:pPr>
              <w:spacing w:before="20" w:after="20"/>
            </w:pPr>
            <w:r>
              <w:rPr>
                <w:color w:val="404040"/>
                <w:sz w:val="17"/>
                <w:szCs w:val="17"/>
              </w:rPr>
              <w:t>Alumni</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3110EC7" w14:textId="77777777" w:rsidR="009B0ED7" w:rsidRDefault="00000000">
            <w:pPr>
              <w:spacing w:before="20" w:after="20"/>
            </w:pPr>
            <w:r>
              <w:rPr>
                <w:color w:val="404040"/>
                <w:sz w:val="17"/>
                <w:szCs w:val="17"/>
              </w:rPr>
              <w:t>Supportive environments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070AFDB" w14:textId="77777777" w:rsidR="009B0ED7" w:rsidRDefault="00000000">
            <w:pPr>
              <w:spacing w:before="20" w:after="20"/>
              <w:jc w:val="center"/>
            </w:pPr>
            <w:r>
              <w:rPr>
                <w:color w:val="404040"/>
                <w:sz w:val="17"/>
                <w:szCs w:val="17"/>
              </w:rPr>
              <w:t>3.83–4.00</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E170393" w14:textId="77777777" w:rsidR="009B0ED7" w:rsidRDefault="00000000">
            <w:pPr>
              <w:spacing w:before="20" w:after="20"/>
              <w:jc w:val="center"/>
            </w:pPr>
            <w:r>
              <w:rPr>
                <w:color w:val="404040"/>
                <w:sz w:val="17"/>
                <w:szCs w:val="17"/>
              </w:rPr>
              <w:t>100% acceptable</w:t>
            </w:r>
          </w:p>
        </w:tc>
      </w:tr>
      <w:tr w:rsidR="009B0ED7" w14:paraId="1D487E6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553040" w14:textId="77777777" w:rsidR="009B0ED7" w:rsidRDefault="00000000">
            <w:pPr>
              <w:spacing w:before="20" w:after="20"/>
            </w:pPr>
            <w:r>
              <w:rPr>
                <w:color w:val="404040"/>
                <w:sz w:val="17"/>
                <w:szCs w:val="17"/>
              </w:rPr>
              <w:t>Employers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2900A3" w14:textId="77777777" w:rsidR="009B0ED7" w:rsidRDefault="00000000">
            <w:pPr>
              <w:spacing w:before="20" w:after="20"/>
            </w:pPr>
            <w:r>
              <w:rPr>
                <w:color w:val="404040"/>
                <w:sz w:val="17"/>
                <w:szCs w:val="17"/>
              </w:rPr>
              <w:t>Learning Environment domain</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0A2A96" w14:textId="77777777" w:rsidR="009B0ED7" w:rsidRDefault="00000000">
            <w:pPr>
              <w:spacing w:before="20" w:after="20"/>
              <w:jc w:val="center"/>
            </w:pPr>
            <w:r>
              <w:rPr>
                <w:color w:val="404040"/>
                <w:sz w:val="17"/>
                <w:szCs w:val="17"/>
              </w:rPr>
              <w:t>3.55</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1066E6" w14:textId="77777777" w:rsidR="009B0ED7" w:rsidRDefault="00000000">
            <w:pPr>
              <w:spacing w:before="20" w:after="20"/>
              <w:jc w:val="center"/>
            </w:pPr>
            <w:r>
              <w:rPr>
                <w:color w:val="404040"/>
                <w:sz w:val="17"/>
                <w:szCs w:val="17"/>
              </w:rPr>
              <w:t>Exceeds Expectations</w:t>
            </w:r>
          </w:p>
        </w:tc>
      </w:tr>
    </w:tbl>
    <w:p w14:paraId="012681E7" w14:textId="77777777" w:rsidR="009B0ED7" w:rsidRDefault="009B0ED7">
      <w:pPr>
        <w:spacing w:before="40" w:after="40"/>
      </w:pPr>
    </w:p>
    <w:p w14:paraId="3D5222C8" w14:textId="77777777" w:rsidR="009B0ED7" w:rsidRDefault="00000000">
      <w:pPr>
        <w:spacing w:before="80" w:after="80" w:line="276" w:lineRule="auto"/>
      </w:pPr>
      <w:r>
        <w:rPr>
          <w:color w:val="404040"/>
        </w:rPr>
        <w:t>This is the strongest convergent finding across all three sources. Learning environment was the highest-rated domain in the employer survey (M = 3.55, Exceeds Expectations), and items related to positive relationships and supportive environments consistently scored at or near the maximum in both completer and alumni instruments. This provides strong evidence that the EPP effectively prepares candidates to create safe, organized, and respectful classroom environments — a foundational competency under InTASC Standard 3 and CAEP Standard 1.</w:t>
      </w:r>
    </w:p>
    <w:p w14:paraId="130D1E6A" w14:textId="77777777" w:rsidR="009B0ED7" w:rsidRDefault="00000000">
      <w:pPr>
        <w:pStyle w:val="Heading2"/>
      </w:pPr>
      <w:r>
        <w:t>3.2 Faculty Quality and Mentorship</w:t>
      </w:r>
    </w:p>
    <w:p w14:paraId="79547995" w14:textId="77777777" w:rsidR="009B0ED7" w:rsidRDefault="00000000">
      <w:pPr>
        <w:spacing w:before="80" w:after="80" w:line="276" w:lineRule="auto"/>
      </w:pPr>
      <w:r>
        <w:rPr>
          <w:color w:val="404040"/>
        </w:rPr>
        <w:t>Faculty quality was identified as the single most frequently cited program strength in both the Completer Exit Survey and the Alumni Follow-Up Survey. Approximately 60% of completer open-ended responses and the majority of alumni responses specifically referenced faculty expertise, dedication, responsiveness, and mentoring as the program’s greatest asset. Employer qualitative data corroborated this indirectly, noting that graduates demonstrate professionalism, content mastery, and openness to feedback — qualities typically attributed to strong faculty modeling.</w:t>
      </w:r>
    </w:p>
    <w:p w14:paraId="38C9485C" w14:textId="77777777" w:rsidR="009B0ED7" w:rsidRDefault="00000000">
      <w:pPr>
        <w:pStyle w:val="Heading2"/>
      </w:pPr>
      <w:r>
        <w:t>3.3 Professional Dispositions and Responsibility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9B0ED7" w14:paraId="0123DEE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CE9B53C" w14:textId="77777777" w:rsidR="009B0ED7" w:rsidRDefault="00000000">
            <w:pPr>
              <w:jc w:val="center"/>
            </w:pPr>
            <w:r>
              <w:rPr>
                <w:b/>
                <w:bCs/>
                <w:color w:val="FFFFFF"/>
                <w:sz w:val="17"/>
                <w:szCs w:val="17"/>
              </w:rPr>
              <w:t>Source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CDA8108" w14:textId="77777777" w:rsidR="009B0ED7" w:rsidRDefault="00000000">
            <w:pPr>
              <w:jc w:val="center"/>
            </w:pPr>
            <w:r>
              <w:rPr>
                <w:b/>
                <w:bCs/>
                <w:color w:val="FFFFFF"/>
                <w:sz w:val="17"/>
                <w:szCs w:val="17"/>
              </w:rPr>
              <w:t>Domain</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594FF9F" w14:textId="77777777" w:rsidR="009B0ED7" w:rsidRDefault="00000000">
            <w:pPr>
              <w:jc w:val="center"/>
            </w:pPr>
            <w:r>
              <w:rPr>
                <w:b/>
                <w:bCs/>
                <w:color w:val="FFFFFF"/>
                <w:sz w:val="17"/>
                <w:szCs w:val="17"/>
              </w:rPr>
              <w:t>Mean</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01F704B" w14:textId="77777777" w:rsidR="009B0ED7" w:rsidRDefault="00000000">
            <w:pPr>
              <w:jc w:val="center"/>
            </w:pPr>
            <w:r>
              <w:rPr>
                <w:b/>
                <w:bCs/>
                <w:color w:val="FFFFFF"/>
                <w:sz w:val="17"/>
                <w:szCs w:val="17"/>
              </w:rPr>
              <w:t>% Acceptable</w:t>
            </w:r>
          </w:p>
        </w:tc>
      </w:tr>
      <w:tr w:rsidR="009B0ED7" w14:paraId="7660A95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2B7F9D"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CB8441" w14:textId="77777777" w:rsidR="009B0ED7" w:rsidRDefault="00000000">
            <w:pPr>
              <w:spacing w:before="20" w:after="20"/>
            </w:pPr>
            <w:r>
              <w:rPr>
                <w:color w:val="404040"/>
                <w:sz w:val="17"/>
                <w:szCs w:val="17"/>
              </w:rPr>
              <w:t>Professional Dispositions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9D64DC" w14:textId="77777777" w:rsidR="009B0ED7" w:rsidRDefault="00000000">
            <w:pPr>
              <w:spacing w:before="20" w:after="20"/>
              <w:jc w:val="center"/>
            </w:pPr>
            <w:r>
              <w:rPr>
                <w:color w:val="404040"/>
                <w:sz w:val="17"/>
                <w:szCs w:val="17"/>
              </w:rPr>
              <w:t>3.89</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33556B" w14:textId="77777777" w:rsidR="009B0ED7" w:rsidRDefault="00000000">
            <w:pPr>
              <w:spacing w:before="20" w:after="20"/>
              <w:jc w:val="center"/>
            </w:pPr>
            <w:r>
              <w:rPr>
                <w:color w:val="404040"/>
                <w:sz w:val="17"/>
                <w:szCs w:val="17"/>
              </w:rPr>
              <w:t>99.2%</w:t>
            </w:r>
          </w:p>
        </w:tc>
      </w:tr>
      <w:tr w:rsidR="009B0ED7" w14:paraId="2209375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54D1C4F" w14:textId="77777777" w:rsidR="009B0ED7" w:rsidRDefault="00000000">
            <w:pPr>
              <w:spacing w:before="20" w:after="20"/>
            </w:pPr>
            <w:r>
              <w:rPr>
                <w:color w:val="404040"/>
                <w:sz w:val="17"/>
                <w:szCs w:val="17"/>
              </w:rPr>
              <w:t>Alumni</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43FB43" w14:textId="77777777" w:rsidR="009B0ED7" w:rsidRDefault="00000000">
            <w:pPr>
              <w:spacing w:before="20" w:after="20"/>
            </w:pPr>
            <w:r>
              <w:rPr>
                <w:color w:val="404040"/>
                <w:sz w:val="17"/>
                <w:szCs w:val="17"/>
              </w:rPr>
              <w:t>Professional Dispositions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D0AF6DC" w14:textId="77777777" w:rsidR="009B0ED7" w:rsidRDefault="00000000">
            <w:pPr>
              <w:spacing w:before="20" w:after="20"/>
              <w:jc w:val="center"/>
            </w:pPr>
            <w:r>
              <w:rPr>
                <w:color w:val="404040"/>
                <w:sz w:val="17"/>
                <w:szCs w:val="17"/>
              </w:rPr>
              <w:t>3.84</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8AD0E44" w14:textId="77777777" w:rsidR="009B0ED7" w:rsidRDefault="00000000">
            <w:pPr>
              <w:spacing w:before="20" w:after="20"/>
              <w:jc w:val="center"/>
            </w:pPr>
            <w:r>
              <w:rPr>
                <w:color w:val="404040"/>
                <w:sz w:val="17"/>
                <w:szCs w:val="17"/>
              </w:rPr>
              <w:t>98.8%</w:t>
            </w:r>
          </w:p>
        </w:tc>
      </w:tr>
      <w:tr w:rsidR="009B0ED7" w14:paraId="7D3F749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9C1EED" w14:textId="77777777" w:rsidR="009B0ED7" w:rsidRDefault="00000000">
            <w:pPr>
              <w:spacing w:before="20" w:after="20"/>
            </w:pPr>
            <w:r>
              <w:rPr>
                <w:color w:val="404040"/>
                <w:sz w:val="17"/>
                <w:szCs w:val="17"/>
              </w:rPr>
              <w:t>Employers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5B57A5" w14:textId="77777777" w:rsidR="009B0ED7" w:rsidRDefault="00000000">
            <w:pPr>
              <w:spacing w:before="20" w:after="20"/>
            </w:pPr>
            <w:r>
              <w:rPr>
                <w:color w:val="404040"/>
                <w:sz w:val="17"/>
                <w:szCs w:val="17"/>
              </w:rPr>
              <w:t>Prof. Responsibility &amp; Ethics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3E1DD9" w14:textId="77777777" w:rsidR="009B0ED7" w:rsidRDefault="00000000">
            <w:pPr>
              <w:spacing w:before="20" w:after="20"/>
              <w:jc w:val="center"/>
            </w:pPr>
            <w:r>
              <w:rPr>
                <w:color w:val="404040"/>
                <w:sz w:val="17"/>
                <w:szCs w:val="17"/>
              </w:rPr>
              <w:t>3.36</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0BDD8E" w14:textId="77777777" w:rsidR="009B0ED7" w:rsidRDefault="00000000">
            <w:pPr>
              <w:spacing w:before="20" w:after="20"/>
              <w:jc w:val="center"/>
            </w:pPr>
            <w:r>
              <w:rPr>
                <w:color w:val="404040"/>
                <w:sz w:val="17"/>
                <w:szCs w:val="17"/>
              </w:rPr>
              <w:t>Meets Expectations</w:t>
            </w:r>
          </w:p>
        </w:tc>
      </w:tr>
    </w:tbl>
    <w:p w14:paraId="066997AF" w14:textId="77777777" w:rsidR="009B0ED7" w:rsidRDefault="009B0ED7">
      <w:pPr>
        <w:spacing w:before="40" w:after="40"/>
      </w:pPr>
    </w:p>
    <w:p w14:paraId="1BECD697" w14:textId="77777777" w:rsidR="009B0ED7" w:rsidRDefault="00000000">
      <w:pPr>
        <w:spacing w:before="80" w:after="80" w:line="276" w:lineRule="auto"/>
      </w:pPr>
      <w:r>
        <w:rPr>
          <w:color w:val="404040"/>
        </w:rPr>
        <w:t>All three sources confirm strong professional dispositions. Completers and alumni rated this domain highest overall (3.89 and 3.84 respectively), while employers specifically noted graduates’ professionalism, reliability, and commitment as observed strengths. Multiple employer respondents described PPM graduates as “excellent professionals willing to continue improving.”</w:t>
      </w:r>
    </w:p>
    <w:p w14:paraId="67F1134E" w14:textId="77777777" w:rsidR="009B0ED7" w:rsidRDefault="00000000">
      <w:pPr>
        <w:pStyle w:val="Heading2"/>
      </w:pPr>
      <w:r>
        <w:t>3.4 Content Knowledge</w:t>
      </w:r>
    </w:p>
    <w:p w14:paraId="267E76DF" w14:textId="77777777" w:rsidR="009B0ED7" w:rsidRDefault="00000000">
      <w:pPr>
        <w:spacing w:before="80" w:after="80" w:line="276" w:lineRule="auto"/>
      </w:pPr>
      <w:r>
        <w:rPr>
          <w:color w:val="404040"/>
        </w:rPr>
        <w:lastRenderedPageBreak/>
        <w:t>Content knowledge is consistently rated positively across sources. Completers rated content understanding at 3.88, alumni at 3.83, and employers rated content knowledge items at 3.27 (Meets Expectations), with qualitative comments highlighting graduates’ “solid command of their subject area.” The employer score, while lower than self-assessments, still meets the performance threshold and reflects the typical gap between self-perception and external evaluation.</w:t>
      </w:r>
    </w:p>
    <w:p w14:paraId="5CA31330" w14:textId="77777777" w:rsidR="009B0ED7" w:rsidRDefault="00000000">
      <w:r>
        <w:br w:type="page"/>
      </w:r>
    </w:p>
    <w:p w14:paraId="772411E5" w14:textId="77777777" w:rsidR="009B0ED7" w:rsidRDefault="00000000">
      <w:pPr>
        <w:pStyle w:val="Heading1"/>
      </w:pPr>
      <w:r>
        <w:lastRenderedPageBreak/>
        <w:t>4. Convergent Findings: Areas for Improvement</w:t>
      </w:r>
    </w:p>
    <w:p w14:paraId="3DCF68E4" w14:textId="77777777" w:rsidR="009B0ED7" w:rsidRDefault="00000000">
      <w:pPr>
        <w:spacing w:before="80" w:after="80" w:line="276" w:lineRule="auto"/>
      </w:pPr>
      <w:r>
        <w:rPr>
          <w:color w:val="404040"/>
        </w:rPr>
        <w:t>The following areas were identified as needing continued development across multiple data sources, providing a strong evidence base for targeted program action.</w:t>
      </w:r>
    </w:p>
    <w:p w14:paraId="58F7BF7B" w14:textId="77777777" w:rsidR="009B0ED7" w:rsidRDefault="00000000">
      <w:pPr>
        <w:pStyle w:val="Heading2"/>
      </w:pPr>
      <w:r>
        <w:t>4.1 Technology and AI Integration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9B0ED7" w14:paraId="75FE03C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379A48E" w14:textId="77777777" w:rsidR="009B0ED7" w:rsidRDefault="00000000">
            <w:pPr>
              <w:jc w:val="center"/>
            </w:pPr>
            <w:r>
              <w:rPr>
                <w:b/>
                <w:bCs/>
                <w:color w:val="FFFFFF"/>
                <w:sz w:val="17"/>
                <w:szCs w:val="17"/>
              </w:rPr>
              <w:t>Source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CAAB161" w14:textId="77777777" w:rsidR="009B0ED7" w:rsidRDefault="00000000">
            <w:pPr>
              <w:jc w:val="center"/>
            </w:pPr>
            <w:r>
              <w:rPr>
                <w:b/>
                <w:bCs/>
                <w:color w:val="FFFFFF"/>
                <w:sz w:val="17"/>
                <w:szCs w:val="17"/>
              </w:rPr>
              <w:t>Indicator</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B63AF41" w14:textId="77777777" w:rsidR="009B0ED7" w:rsidRDefault="00000000">
            <w:pPr>
              <w:jc w:val="center"/>
            </w:pPr>
            <w:r>
              <w:rPr>
                <w:b/>
                <w:bCs/>
                <w:color w:val="FFFFFF"/>
                <w:sz w:val="17"/>
                <w:szCs w:val="17"/>
              </w:rPr>
              <w:t>Score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A47225C" w14:textId="77777777" w:rsidR="009B0ED7" w:rsidRDefault="00000000">
            <w:pPr>
              <w:jc w:val="center"/>
            </w:pPr>
            <w:r>
              <w:rPr>
                <w:b/>
                <w:bCs/>
                <w:color w:val="FFFFFF"/>
                <w:sz w:val="17"/>
                <w:szCs w:val="17"/>
              </w:rPr>
              <w:t>Status</w:t>
            </w:r>
          </w:p>
        </w:tc>
      </w:tr>
      <w:tr w:rsidR="009B0ED7" w14:paraId="6413AD1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E3D9C3"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25DA0B" w14:textId="77777777" w:rsidR="009B0ED7" w:rsidRDefault="00000000">
            <w:pPr>
              <w:spacing w:before="20" w:after="20"/>
            </w:pPr>
            <w:r>
              <w:rPr>
                <w:color w:val="404040"/>
                <w:sz w:val="17"/>
                <w:szCs w:val="17"/>
              </w:rPr>
              <w:t>Digital Competencies domain</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2AA76C" w14:textId="77777777" w:rsidR="009B0ED7" w:rsidRDefault="00000000">
            <w:pPr>
              <w:spacing w:before="20" w:after="20"/>
              <w:jc w:val="center"/>
            </w:pPr>
            <w:r>
              <w:rPr>
                <w:color w:val="404040"/>
                <w:sz w:val="17"/>
                <w:szCs w:val="17"/>
              </w:rPr>
              <w:t>3.83</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65A263" w14:textId="77777777" w:rsidR="009B0ED7" w:rsidRDefault="00000000">
            <w:pPr>
              <w:spacing w:before="20" w:after="20"/>
              <w:jc w:val="center"/>
            </w:pPr>
            <w:r>
              <w:rPr>
                <w:color w:val="404040"/>
                <w:sz w:val="17"/>
                <w:szCs w:val="17"/>
              </w:rPr>
              <w:t>100% acceptable</w:t>
            </w:r>
          </w:p>
        </w:tc>
      </w:tr>
      <w:tr w:rsidR="009B0ED7" w14:paraId="08CEE9A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E45898"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027A81F" w14:textId="77777777" w:rsidR="009B0ED7" w:rsidRDefault="00000000">
            <w:pPr>
              <w:spacing w:before="20" w:after="20"/>
            </w:pPr>
            <w:r>
              <w:rPr>
                <w:color w:val="404040"/>
                <w:sz w:val="17"/>
                <w:szCs w:val="17"/>
              </w:rPr>
              <w:t>Emerging technologies (AR, AI)</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C696C20" w14:textId="77777777" w:rsidR="009B0ED7" w:rsidRDefault="00000000">
            <w:pPr>
              <w:spacing w:before="20" w:after="20"/>
              <w:jc w:val="center"/>
            </w:pPr>
            <w:r>
              <w:rPr>
                <w:color w:val="404040"/>
                <w:sz w:val="17"/>
                <w:szCs w:val="17"/>
              </w:rPr>
              <w:t>3.68</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365F0AC" w14:textId="77777777" w:rsidR="009B0ED7" w:rsidRDefault="00000000">
            <w:pPr>
              <w:spacing w:before="20" w:after="20"/>
              <w:jc w:val="center"/>
            </w:pPr>
            <w:r>
              <w:rPr>
                <w:color w:val="404040"/>
                <w:sz w:val="17"/>
                <w:szCs w:val="17"/>
              </w:rPr>
              <w:t>Lowest digital item</w:t>
            </w:r>
          </w:p>
        </w:tc>
      </w:tr>
      <w:tr w:rsidR="009B0ED7" w14:paraId="283E1C3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E6661E" w14:textId="77777777" w:rsidR="009B0ED7" w:rsidRDefault="00000000">
            <w:pPr>
              <w:spacing w:before="20" w:after="20"/>
            </w:pPr>
            <w:r>
              <w:rPr>
                <w:color w:val="404040"/>
                <w:sz w:val="17"/>
                <w:szCs w:val="17"/>
              </w:rPr>
              <w:t>Alumni</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E83417" w14:textId="77777777" w:rsidR="009B0ED7" w:rsidRDefault="00000000">
            <w:pPr>
              <w:spacing w:before="20" w:after="20"/>
            </w:pPr>
            <w:r>
              <w:rPr>
                <w:color w:val="404040"/>
                <w:sz w:val="17"/>
                <w:szCs w:val="17"/>
              </w:rPr>
              <w:t>Digital Competencies domain</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2309C3" w14:textId="77777777" w:rsidR="009B0ED7" w:rsidRDefault="00000000">
            <w:pPr>
              <w:spacing w:before="20" w:after="20"/>
              <w:jc w:val="center"/>
            </w:pPr>
            <w:r>
              <w:rPr>
                <w:color w:val="404040"/>
                <w:sz w:val="17"/>
                <w:szCs w:val="17"/>
              </w:rPr>
              <w:t>3.67</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3A222E" w14:textId="77777777" w:rsidR="009B0ED7" w:rsidRDefault="00000000">
            <w:pPr>
              <w:spacing w:before="20" w:after="20"/>
              <w:jc w:val="center"/>
            </w:pPr>
            <w:r>
              <w:rPr>
                <w:color w:val="404040"/>
                <w:sz w:val="17"/>
                <w:szCs w:val="17"/>
              </w:rPr>
              <w:t>Lowest domain</w:t>
            </w:r>
          </w:p>
        </w:tc>
      </w:tr>
      <w:tr w:rsidR="009B0ED7" w14:paraId="114BE9D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1CD848E" w14:textId="77777777" w:rsidR="009B0ED7" w:rsidRDefault="00000000">
            <w:pPr>
              <w:spacing w:before="20" w:after="20"/>
            </w:pPr>
            <w:r>
              <w:rPr>
                <w:color w:val="404040"/>
                <w:sz w:val="17"/>
                <w:szCs w:val="17"/>
              </w:rPr>
              <w:t>Alumni</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4633138" w14:textId="77777777" w:rsidR="009B0ED7" w:rsidRDefault="00000000">
            <w:pPr>
              <w:spacing w:before="20" w:after="20"/>
            </w:pPr>
            <w:r>
              <w:rPr>
                <w:color w:val="404040"/>
                <w:sz w:val="17"/>
                <w:szCs w:val="17"/>
              </w:rPr>
              <w:t>Interactive tools (sims, labs, AI)</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64384B" w14:textId="77777777" w:rsidR="009B0ED7" w:rsidRDefault="00000000">
            <w:pPr>
              <w:spacing w:before="20" w:after="20"/>
              <w:jc w:val="center"/>
            </w:pPr>
            <w:r>
              <w:rPr>
                <w:color w:val="404040"/>
                <w:sz w:val="17"/>
                <w:szCs w:val="17"/>
              </w:rPr>
              <w:t>3.33</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D04DF7" w14:textId="77777777" w:rsidR="009B0ED7" w:rsidRDefault="00000000">
            <w:pPr>
              <w:spacing w:before="20" w:after="20"/>
              <w:jc w:val="center"/>
            </w:pPr>
            <w:r>
              <w:rPr>
                <w:color w:val="404040"/>
                <w:sz w:val="17"/>
                <w:szCs w:val="17"/>
              </w:rPr>
              <w:t>Lowest item overall</w:t>
            </w:r>
          </w:p>
        </w:tc>
      </w:tr>
      <w:tr w:rsidR="009B0ED7" w14:paraId="2A09FD2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562F7A" w14:textId="77777777" w:rsidR="009B0ED7" w:rsidRDefault="00000000">
            <w:pPr>
              <w:spacing w:before="20" w:after="20"/>
            </w:pPr>
            <w:r>
              <w:rPr>
                <w:color w:val="404040"/>
                <w:sz w:val="17"/>
                <w:szCs w:val="17"/>
              </w:rPr>
              <w:t>Employers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681D69" w14:textId="77777777" w:rsidR="009B0ED7" w:rsidRDefault="00000000">
            <w:pPr>
              <w:spacing w:before="20" w:after="20"/>
            </w:pPr>
            <w:r>
              <w:rPr>
                <w:color w:val="404040"/>
                <w:sz w:val="17"/>
                <w:szCs w:val="17"/>
              </w:rPr>
              <w:t>Technology Integration domain</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3D008F" w14:textId="77777777" w:rsidR="009B0ED7" w:rsidRDefault="00000000">
            <w:pPr>
              <w:spacing w:before="20" w:after="20"/>
              <w:jc w:val="center"/>
            </w:pPr>
            <w:r>
              <w:rPr>
                <w:color w:val="404040"/>
                <w:sz w:val="17"/>
                <w:szCs w:val="17"/>
              </w:rPr>
              <w:t>3.18</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4B6FBA" w14:textId="77777777" w:rsidR="009B0ED7" w:rsidRDefault="00000000">
            <w:pPr>
              <w:spacing w:before="20" w:after="20"/>
              <w:jc w:val="center"/>
            </w:pPr>
            <w:r>
              <w:rPr>
                <w:color w:val="404040"/>
                <w:sz w:val="17"/>
                <w:szCs w:val="17"/>
              </w:rPr>
              <w:t>Lowest employer domain</w:t>
            </w:r>
          </w:p>
        </w:tc>
      </w:tr>
    </w:tbl>
    <w:p w14:paraId="5C408433" w14:textId="77777777" w:rsidR="009B0ED7" w:rsidRDefault="009B0ED7">
      <w:pPr>
        <w:spacing w:before="40" w:after="40"/>
      </w:pPr>
    </w:p>
    <w:p w14:paraId="321C6E9F" w14:textId="77777777" w:rsidR="009B0ED7" w:rsidRDefault="00000000">
      <w:pPr>
        <w:spacing w:before="80" w:after="80" w:line="276" w:lineRule="auto"/>
      </w:pPr>
      <w:r>
        <w:rPr>
          <w:color w:val="404040"/>
        </w:rPr>
        <w:t>Technology integration is the most consistently identified area for improvement across all three sources. It is the lowest-rated domain in both the alumni (3.67) and employer (3.18) surveys. Qualitative data reinforce this: completers recommended a mandatory AI course, alumni suggested AI workshops, and employers noted the need for DEPR digital platform fluency. This convergence across all three stakeholder groups provides compelling evidence for prioritizing technology and AI integration in the curriculum.</w:t>
      </w:r>
    </w:p>
    <w:p w14:paraId="07CC984A" w14:textId="77777777" w:rsidR="009B0ED7" w:rsidRDefault="00000000">
      <w:pPr>
        <w:pStyle w:val="Heading2"/>
      </w:pPr>
      <w:r>
        <w:t>4.2 Assessment Literacy and Data-Driven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9B0ED7" w14:paraId="764F0BB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EFB1025" w14:textId="77777777" w:rsidR="009B0ED7" w:rsidRDefault="00000000">
            <w:pPr>
              <w:jc w:val="center"/>
            </w:pPr>
            <w:r>
              <w:rPr>
                <w:b/>
                <w:bCs/>
                <w:color w:val="FFFFFF"/>
                <w:sz w:val="17"/>
                <w:szCs w:val="17"/>
              </w:rPr>
              <w:t>Source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0A73D4D" w14:textId="77777777" w:rsidR="009B0ED7" w:rsidRDefault="00000000">
            <w:pPr>
              <w:jc w:val="center"/>
            </w:pPr>
            <w:r>
              <w:rPr>
                <w:b/>
                <w:bCs/>
                <w:color w:val="FFFFFF"/>
                <w:sz w:val="17"/>
                <w:szCs w:val="17"/>
              </w:rPr>
              <w:t>Indicator</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AE76EFD" w14:textId="77777777" w:rsidR="009B0ED7" w:rsidRDefault="00000000">
            <w:pPr>
              <w:jc w:val="center"/>
            </w:pPr>
            <w:r>
              <w:rPr>
                <w:b/>
                <w:bCs/>
                <w:color w:val="FFFFFF"/>
                <w:sz w:val="17"/>
                <w:szCs w:val="17"/>
              </w:rPr>
              <w:t>Score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B99CCB5" w14:textId="77777777" w:rsidR="009B0ED7" w:rsidRDefault="00000000">
            <w:pPr>
              <w:jc w:val="center"/>
            </w:pPr>
            <w:r>
              <w:rPr>
                <w:b/>
                <w:bCs/>
                <w:color w:val="FFFFFF"/>
                <w:sz w:val="17"/>
                <w:szCs w:val="17"/>
              </w:rPr>
              <w:t>Note</w:t>
            </w:r>
          </w:p>
        </w:tc>
      </w:tr>
      <w:tr w:rsidR="009B0ED7" w14:paraId="69041312"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80CAF6"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F71FA6" w14:textId="77777777" w:rsidR="009B0ED7" w:rsidRDefault="00000000">
            <w:pPr>
              <w:spacing w:before="20" w:after="20"/>
            </w:pPr>
            <w:r>
              <w:rPr>
                <w:color w:val="404040"/>
                <w:sz w:val="17"/>
                <w:szCs w:val="17"/>
              </w:rPr>
              <w:t>Analyzing assessment data</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860CCE" w14:textId="77777777" w:rsidR="009B0ED7" w:rsidRDefault="00000000">
            <w:pPr>
              <w:spacing w:before="20" w:after="20"/>
              <w:jc w:val="center"/>
            </w:pPr>
            <w:r>
              <w:rPr>
                <w:color w:val="404040"/>
                <w:sz w:val="17"/>
                <w:szCs w:val="17"/>
              </w:rPr>
              <w:t>3.72</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A60B15" w14:textId="77777777" w:rsidR="009B0ED7" w:rsidRDefault="00000000">
            <w:pPr>
              <w:spacing w:before="20" w:after="20"/>
              <w:jc w:val="center"/>
            </w:pPr>
            <w:r>
              <w:rPr>
                <w:color w:val="404040"/>
                <w:sz w:val="17"/>
                <w:szCs w:val="17"/>
              </w:rPr>
              <w:t>96% acceptable</w:t>
            </w:r>
          </w:p>
        </w:tc>
      </w:tr>
      <w:tr w:rsidR="009B0ED7" w14:paraId="3858895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C5C8FB3" w14:textId="77777777" w:rsidR="009B0ED7" w:rsidRDefault="00000000">
            <w:pPr>
              <w:spacing w:before="20" w:after="20"/>
            </w:pPr>
            <w:r>
              <w:rPr>
                <w:color w:val="404040"/>
                <w:sz w:val="17"/>
                <w:szCs w:val="17"/>
              </w:rPr>
              <w:t>Completers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01B106" w14:textId="77777777" w:rsidR="009B0ED7" w:rsidRDefault="00000000">
            <w:pPr>
              <w:spacing w:before="20" w:after="20"/>
            </w:pPr>
            <w:r>
              <w:rPr>
                <w:color w:val="404040"/>
                <w:sz w:val="17"/>
                <w:szCs w:val="17"/>
              </w:rPr>
              <w:t>Assessment accommodations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F11BB4" w14:textId="77777777" w:rsidR="009B0ED7" w:rsidRDefault="00000000">
            <w:pPr>
              <w:spacing w:before="20" w:after="20"/>
              <w:jc w:val="center"/>
            </w:pPr>
            <w:r>
              <w:rPr>
                <w:color w:val="404040"/>
                <w:sz w:val="17"/>
                <w:szCs w:val="17"/>
              </w:rPr>
              <w:t>3.76</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C0B123" w14:textId="77777777" w:rsidR="009B0ED7" w:rsidRDefault="00000000">
            <w:pPr>
              <w:spacing w:before="20" w:after="20"/>
              <w:jc w:val="center"/>
            </w:pPr>
            <w:r>
              <w:rPr>
                <w:color w:val="404040"/>
                <w:sz w:val="17"/>
                <w:szCs w:val="17"/>
              </w:rPr>
              <w:t>96% acceptable</w:t>
            </w:r>
          </w:p>
        </w:tc>
      </w:tr>
      <w:tr w:rsidR="009B0ED7" w14:paraId="353B2EB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9ACC71" w14:textId="77777777" w:rsidR="009B0ED7" w:rsidRDefault="00000000">
            <w:pPr>
              <w:spacing w:before="20" w:after="20"/>
            </w:pPr>
            <w:r>
              <w:rPr>
                <w:color w:val="404040"/>
                <w:sz w:val="17"/>
                <w:szCs w:val="17"/>
              </w:rPr>
              <w:t>Alumni</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A1D71A" w14:textId="77777777" w:rsidR="009B0ED7" w:rsidRDefault="00000000">
            <w:pPr>
              <w:spacing w:before="20" w:after="20"/>
            </w:pPr>
            <w:r>
              <w:rPr>
                <w:color w:val="404040"/>
                <w:sz w:val="17"/>
                <w:szCs w:val="17"/>
              </w:rPr>
              <w:t>Assessment sub-domain</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C5E84D" w14:textId="77777777" w:rsidR="009B0ED7" w:rsidRDefault="00000000">
            <w:pPr>
              <w:spacing w:before="20" w:after="20"/>
              <w:jc w:val="center"/>
            </w:pPr>
            <w:r>
              <w:rPr>
                <w:color w:val="404040"/>
                <w:sz w:val="17"/>
                <w:szCs w:val="17"/>
              </w:rPr>
              <w:t>3.83–3.92</w:t>
            </w:r>
          </w:p>
        </w:tc>
        <w:tc>
          <w:tcPr>
            <w:tcW w:w="234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6D7C02" w14:textId="77777777" w:rsidR="009B0ED7" w:rsidRDefault="00000000">
            <w:pPr>
              <w:spacing w:before="20" w:after="20"/>
              <w:jc w:val="center"/>
            </w:pPr>
            <w:r>
              <w:rPr>
                <w:color w:val="404040"/>
                <w:sz w:val="17"/>
                <w:szCs w:val="17"/>
              </w:rPr>
              <w:t>100% acceptable</w:t>
            </w:r>
          </w:p>
        </w:tc>
      </w:tr>
      <w:tr w:rsidR="009B0ED7" w14:paraId="617DCCF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A7D1CF2" w14:textId="77777777" w:rsidR="009B0ED7" w:rsidRDefault="00000000">
            <w:pPr>
              <w:spacing w:before="20" w:after="20"/>
            </w:pPr>
            <w:r>
              <w:rPr>
                <w:color w:val="404040"/>
                <w:sz w:val="17"/>
                <w:szCs w:val="17"/>
              </w:rPr>
              <w:t>Employers</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CCC354C" w14:textId="77777777" w:rsidR="009B0ED7" w:rsidRDefault="00000000">
            <w:pPr>
              <w:spacing w:before="20" w:after="20"/>
            </w:pPr>
            <w:r>
              <w:rPr>
                <w:color w:val="404040"/>
                <w:sz w:val="17"/>
                <w:szCs w:val="17"/>
              </w:rPr>
              <w:t>Assessment domain</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1258617" w14:textId="77777777" w:rsidR="009B0ED7" w:rsidRDefault="00000000">
            <w:pPr>
              <w:spacing w:before="20" w:after="20"/>
              <w:jc w:val="center"/>
            </w:pPr>
            <w:r>
              <w:rPr>
                <w:color w:val="404040"/>
                <w:sz w:val="17"/>
                <w:szCs w:val="17"/>
              </w:rPr>
              <w:t>3.27</w:t>
            </w:r>
          </w:p>
        </w:tc>
        <w:tc>
          <w:tcPr>
            <w:tcW w:w="234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7960655" w14:textId="77777777" w:rsidR="009B0ED7" w:rsidRDefault="00000000">
            <w:pPr>
              <w:spacing w:before="20" w:after="20"/>
              <w:jc w:val="center"/>
            </w:pPr>
            <w:r>
              <w:rPr>
                <w:color w:val="404040"/>
                <w:sz w:val="17"/>
                <w:szCs w:val="17"/>
              </w:rPr>
              <w:t>Meets Expectations</w:t>
            </w:r>
          </w:p>
        </w:tc>
      </w:tr>
    </w:tbl>
    <w:p w14:paraId="322CCA4A" w14:textId="77777777" w:rsidR="009B0ED7" w:rsidRDefault="009B0ED7">
      <w:pPr>
        <w:spacing w:before="40" w:after="40"/>
      </w:pPr>
    </w:p>
    <w:p w14:paraId="7B595950" w14:textId="77777777" w:rsidR="009B0ED7" w:rsidRDefault="00000000">
      <w:pPr>
        <w:spacing w:before="80" w:after="80" w:line="276" w:lineRule="auto"/>
      </w:pPr>
      <w:r>
        <w:rPr>
          <w:color w:val="404040"/>
        </w:rPr>
        <w:t>Assessment literacy emerges as an area for growth, particularly at the completer level (where multiple respondents recommended making the assessment course mandatory) and from the employer perspective (M = 3.27). Notably, alumni assessment scores improved relative to completers, suggesting that professional experience strengthens assessment competencies over time. However, qualitative data from both completers and employers indicate that preparation in data-driven instruction and accommodations for diverse learners should be strengthened.</w:t>
      </w:r>
    </w:p>
    <w:p w14:paraId="2DC44980" w14:textId="77777777" w:rsidR="009B0ED7" w:rsidRDefault="00000000">
      <w:pPr>
        <w:pStyle w:val="Heading2"/>
      </w:pPr>
      <w:r>
        <w:t>4.3 Professional Organization Engagement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B0ED7" w14:paraId="3DB2660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E447B81" w14:textId="77777777" w:rsidR="009B0ED7" w:rsidRDefault="00000000">
            <w:pPr>
              <w:jc w:val="center"/>
            </w:pPr>
            <w:r>
              <w:rPr>
                <w:b/>
                <w:bCs/>
                <w:color w:val="FFFFFF"/>
                <w:sz w:val="17"/>
                <w:szCs w:val="17"/>
              </w:rPr>
              <w:t>Source</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442F310" w14:textId="77777777" w:rsidR="009B0ED7" w:rsidRDefault="00000000">
            <w:pPr>
              <w:jc w:val="center"/>
            </w:pPr>
            <w:r>
              <w:rPr>
                <w:b/>
                <w:bCs/>
                <w:color w:val="FFFFFF"/>
                <w:sz w:val="17"/>
                <w:szCs w:val="17"/>
              </w:rPr>
              <w:t>Score</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7734F35" w14:textId="77777777" w:rsidR="009B0ED7" w:rsidRDefault="00000000">
            <w:pPr>
              <w:jc w:val="center"/>
            </w:pPr>
            <w:r>
              <w:rPr>
                <w:b/>
                <w:bCs/>
                <w:color w:val="FFFFFF"/>
                <w:sz w:val="17"/>
                <w:szCs w:val="17"/>
              </w:rPr>
              <w:t>Status</w:t>
            </w:r>
          </w:p>
        </w:tc>
      </w:tr>
      <w:tr w:rsidR="009B0ED7" w14:paraId="0F1AE8B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0179E9" w14:textId="77777777" w:rsidR="009B0ED7" w:rsidRDefault="00000000">
            <w:pPr>
              <w:spacing w:before="20" w:after="20"/>
            </w:pPr>
            <w:r>
              <w:rPr>
                <w:color w:val="404040"/>
                <w:sz w:val="17"/>
                <w:szCs w:val="17"/>
              </w:rPr>
              <w:t>Completers</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AE7ED0" w14:textId="77777777" w:rsidR="009B0ED7" w:rsidRDefault="00000000">
            <w:pPr>
              <w:spacing w:before="20" w:after="20"/>
              <w:jc w:val="center"/>
            </w:pPr>
            <w:r>
              <w:rPr>
                <w:color w:val="404040"/>
                <w:sz w:val="17"/>
                <w:szCs w:val="17"/>
              </w:rPr>
              <w:t>3.80 (SD = 0.50)</w:t>
            </w:r>
          </w:p>
        </w:tc>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43E0FB" w14:textId="77777777" w:rsidR="009B0ED7" w:rsidRDefault="00000000">
            <w:pPr>
              <w:spacing w:before="20" w:after="20"/>
              <w:jc w:val="center"/>
            </w:pPr>
            <w:r>
              <w:rPr>
                <w:color w:val="404040"/>
                <w:sz w:val="17"/>
                <w:szCs w:val="17"/>
              </w:rPr>
              <w:t>96% acceptable</w:t>
            </w:r>
          </w:p>
        </w:tc>
      </w:tr>
      <w:tr w:rsidR="009B0ED7" w14:paraId="51C7CFA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65E3455" w14:textId="77777777" w:rsidR="009B0ED7" w:rsidRDefault="00000000">
            <w:pPr>
              <w:spacing w:before="20" w:after="20"/>
            </w:pPr>
            <w:r>
              <w:rPr>
                <w:color w:val="404040"/>
                <w:sz w:val="17"/>
                <w:szCs w:val="17"/>
              </w:rPr>
              <w:lastRenderedPageBreak/>
              <w:t>Alumni</w:t>
            </w:r>
          </w:p>
        </w:tc>
        <w:tc>
          <w:tcPr>
            <w:tcW w:w="31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0A6CC8" w14:textId="77777777" w:rsidR="009B0ED7" w:rsidRDefault="00000000">
            <w:pPr>
              <w:spacing w:before="20" w:after="20"/>
              <w:jc w:val="center"/>
            </w:pPr>
            <w:r>
              <w:rPr>
                <w:color w:val="404040"/>
                <w:sz w:val="17"/>
                <w:szCs w:val="17"/>
              </w:rPr>
              <w:t>3.50 (SD = 0.80)</w:t>
            </w:r>
          </w:p>
        </w:tc>
        <w:tc>
          <w:tcPr>
            <w:tcW w:w="31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5FC0E92" w14:textId="77777777" w:rsidR="009B0ED7" w:rsidRDefault="00000000">
            <w:pPr>
              <w:spacing w:before="20" w:after="20"/>
              <w:jc w:val="center"/>
            </w:pPr>
            <w:r>
              <w:rPr>
                <w:color w:val="404040"/>
                <w:sz w:val="17"/>
                <w:szCs w:val="17"/>
              </w:rPr>
              <w:t>83% acceptable</w:t>
            </w:r>
          </w:p>
        </w:tc>
      </w:tr>
    </w:tbl>
    <w:p w14:paraId="79771B7A" w14:textId="77777777" w:rsidR="009B0ED7" w:rsidRDefault="009B0ED7">
      <w:pPr>
        <w:spacing w:before="40" w:after="40"/>
      </w:pPr>
    </w:p>
    <w:p w14:paraId="69660C48" w14:textId="77777777" w:rsidR="009B0ED7" w:rsidRDefault="00000000">
      <w:pPr>
        <w:spacing w:before="80" w:after="80" w:line="276" w:lineRule="auto"/>
      </w:pPr>
      <w:r>
        <w:rPr>
          <w:color w:val="404040"/>
        </w:rPr>
        <w:t>Engaging in professional organizations received the lowest score across both completer and alumni instruments (M = 3.80 and 3.50 respectively). The alumni score of 83% acceptable is the lowest percentage in the entire alumni dataset. This consistent finding suggests that the program should create more structured opportunities for professional organization participation during candidacy and provide alumni with ongoing access to professional networks.</w:t>
      </w:r>
    </w:p>
    <w:p w14:paraId="0AF214D4" w14:textId="77777777" w:rsidR="009B0ED7" w:rsidRDefault="00000000">
      <w:pPr>
        <w:pStyle w:val="Heading2"/>
      </w:pPr>
      <w:r>
        <w:t>4.4 Clinical Experience and Cooperating Teacher Feedback</w:t>
      </w:r>
    </w:p>
    <w:p w14:paraId="0415C75C" w14:textId="77777777" w:rsidR="009B0ED7" w:rsidRDefault="00000000">
      <w:pPr>
        <w:spacing w:before="80" w:after="80" w:line="276" w:lineRule="auto"/>
      </w:pPr>
      <w:r>
        <w:rPr>
          <w:color w:val="404040"/>
        </w:rPr>
        <w:t>Variability in cooperating teacher feedback and clinical experience quality is a recurring theme across all three sources. Completers rated cooperating teacher feedback at 3.80 (96% acceptable); alumni rated it at 3.75 (92% acceptable). Employer qualitative data recommended more time in authentic classroom settings and better-prepared cooperating teachers. Both completers and alumni qualitative data called for a vetted cooperating teacher registry and earlier clinical placements.</w:t>
      </w:r>
    </w:p>
    <w:p w14:paraId="528DCCB1" w14:textId="77777777" w:rsidR="009B0ED7" w:rsidRDefault="00000000">
      <w:pPr>
        <w:pStyle w:val="Heading2"/>
      </w:pPr>
      <w:r>
        <w:t>4.5 Differentiated Instruction and Special Education</w:t>
      </w:r>
    </w:p>
    <w:p w14:paraId="24F28BF4" w14:textId="77777777" w:rsidR="009B0ED7" w:rsidRDefault="00000000">
      <w:pPr>
        <w:spacing w:before="80" w:after="80" w:line="276" w:lineRule="auto"/>
      </w:pPr>
      <w:r>
        <w:rPr>
          <w:color w:val="404040"/>
        </w:rPr>
        <w:t>Employers identified differentiated instruction (M = 3.27) and special education accommodations as specific areas for improvement. This aligns with completer data showing assessment accommodations items at 3.76 (96% acceptable) and alumni qualitative suggestions for more training in working with diverse learner needs. The convergence across self-reported and externally observed data strengthens the case for curricular revision in this area.</w:t>
      </w:r>
    </w:p>
    <w:p w14:paraId="07EFC777" w14:textId="77777777" w:rsidR="009B0ED7" w:rsidRDefault="00000000">
      <w:r>
        <w:br w:type="page"/>
      </w:r>
    </w:p>
    <w:p w14:paraId="14C3E013" w14:textId="77777777" w:rsidR="009B0ED7" w:rsidRDefault="00000000">
      <w:pPr>
        <w:pStyle w:val="Heading1"/>
      </w:pPr>
      <w:r>
        <w:lastRenderedPageBreak/>
        <w:t>5. Cross-Source Comparison Matrix</w:t>
      </w:r>
    </w:p>
    <w:p w14:paraId="3977E316" w14:textId="77777777" w:rsidR="009B0ED7" w:rsidRDefault="00000000">
      <w:pPr>
        <w:spacing w:before="80" w:after="80" w:line="276" w:lineRule="auto"/>
      </w:pPr>
      <w:r>
        <w:rPr>
          <w:color w:val="404040"/>
        </w:rPr>
        <w:t>The table below synthesizes the key findings across all three data sources, organized by competency theme. Convergent findings (consistent across 2+ sources) are highlighted.</w:t>
      </w:r>
    </w:p>
    <w:p w14:paraId="474FA6F2" w14:textId="77777777" w:rsidR="009B0ED7" w:rsidRDefault="009B0ED7">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920"/>
        <w:gridCol w:w="1920"/>
        <w:gridCol w:w="1920"/>
        <w:gridCol w:w="1500"/>
      </w:tblGrid>
      <w:tr w:rsidR="009B0ED7" w14:paraId="5EE727CA"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5C47797" w14:textId="77777777" w:rsidR="009B0ED7" w:rsidRDefault="00000000">
            <w:pPr>
              <w:jc w:val="center"/>
            </w:pPr>
            <w:r>
              <w:rPr>
                <w:b/>
                <w:bCs/>
                <w:color w:val="FFFFFF"/>
                <w:sz w:val="17"/>
                <w:szCs w:val="17"/>
              </w:rPr>
              <w:t>Competency Area</w:t>
            </w:r>
          </w:p>
        </w:tc>
        <w:tc>
          <w:tcPr>
            <w:tcW w:w="19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D2CC859" w14:textId="77777777" w:rsidR="009B0ED7" w:rsidRDefault="00000000">
            <w:pPr>
              <w:jc w:val="center"/>
            </w:pPr>
            <w:r>
              <w:rPr>
                <w:b/>
                <w:bCs/>
                <w:color w:val="FFFFFF"/>
                <w:sz w:val="17"/>
                <w:szCs w:val="17"/>
              </w:rPr>
              <w:t>Completers (n=25)</w:t>
            </w:r>
          </w:p>
        </w:tc>
        <w:tc>
          <w:tcPr>
            <w:tcW w:w="19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A0EFF22" w14:textId="77777777" w:rsidR="009B0ED7" w:rsidRDefault="00000000">
            <w:pPr>
              <w:jc w:val="center"/>
            </w:pPr>
            <w:r>
              <w:rPr>
                <w:b/>
                <w:bCs/>
                <w:color w:val="FFFFFF"/>
                <w:sz w:val="17"/>
                <w:szCs w:val="17"/>
              </w:rPr>
              <w:t>Alumni (n=12)</w:t>
            </w:r>
          </w:p>
        </w:tc>
        <w:tc>
          <w:tcPr>
            <w:tcW w:w="19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C5E9E7B" w14:textId="77777777" w:rsidR="009B0ED7" w:rsidRDefault="00000000">
            <w:pPr>
              <w:jc w:val="center"/>
            </w:pPr>
            <w:r>
              <w:rPr>
                <w:b/>
                <w:bCs/>
                <w:color w:val="FFFFFF"/>
                <w:sz w:val="17"/>
                <w:szCs w:val="17"/>
              </w:rPr>
              <w:t>Employers (n=11)</w:t>
            </w:r>
          </w:p>
        </w:tc>
        <w:tc>
          <w:tcPr>
            <w:tcW w:w="1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4F2BA70" w14:textId="77777777" w:rsidR="009B0ED7" w:rsidRDefault="00000000">
            <w:pPr>
              <w:jc w:val="center"/>
            </w:pPr>
            <w:r>
              <w:rPr>
                <w:b/>
                <w:bCs/>
                <w:color w:val="FFFFFF"/>
                <w:sz w:val="17"/>
                <w:szCs w:val="17"/>
              </w:rPr>
              <w:t>Convergence</w:t>
            </w:r>
          </w:p>
        </w:tc>
      </w:tr>
      <w:tr w:rsidR="009B0ED7" w14:paraId="6D703F2B"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EE46B3" w14:textId="77777777" w:rsidR="009B0ED7" w:rsidRDefault="00000000">
            <w:pPr>
              <w:spacing w:before="20" w:after="20"/>
            </w:pPr>
            <w:r>
              <w:rPr>
                <w:b/>
                <w:bCs/>
                <w:color w:val="404040"/>
                <w:sz w:val="17"/>
                <w:szCs w:val="17"/>
              </w:rPr>
              <w:t>Learning Environment</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1B2476" w14:textId="77777777" w:rsidR="009B0ED7" w:rsidRDefault="00000000">
            <w:pPr>
              <w:spacing w:before="20" w:after="20"/>
              <w:jc w:val="center"/>
            </w:pPr>
            <w:r>
              <w:rPr>
                <w:color w:val="404040"/>
                <w:sz w:val="17"/>
                <w:szCs w:val="17"/>
              </w:rPr>
              <w:t>3.88–4.00</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5277C4" w14:textId="77777777" w:rsidR="009B0ED7" w:rsidRDefault="00000000">
            <w:pPr>
              <w:spacing w:before="20" w:after="20"/>
              <w:jc w:val="center"/>
            </w:pPr>
            <w:r>
              <w:rPr>
                <w:color w:val="404040"/>
                <w:sz w:val="17"/>
                <w:szCs w:val="17"/>
              </w:rPr>
              <w:t>3.83–4.00</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C97D2F" w14:textId="77777777" w:rsidR="009B0ED7" w:rsidRDefault="00000000">
            <w:pPr>
              <w:spacing w:before="20" w:after="20"/>
              <w:jc w:val="center"/>
            </w:pPr>
            <w:r>
              <w:rPr>
                <w:color w:val="404040"/>
                <w:sz w:val="17"/>
                <w:szCs w:val="17"/>
              </w:rPr>
              <w:t>3.55 (Exceeds)</w:t>
            </w:r>
          </w:p>
        </w:tc>
        <w:tc>
          <w:tcPr>
            <w:tcW w:w="1500" w:type="dxa"/>
            <w:tcBorders>
              <w:top w:val="single" w:sz="1" w:space="0" w:color="CCCCCC"/>
              <w:left w:val="single" w:sz="1" w:space="0" w:color="CCCCCC"/>
              <w:bottom w:val="single" w:sz="1" w:space="0" w:color="CCCCCC"/>
              <w:right w:val="single" w:sz="1" w:space="0" w:color="CCCCCC"/>
            </w:tcBorders>
            <w:shd w:val="clear" w:color="auto" w:fill="C8E6C9"/>
            <w:tcMar>
              <w:top w:w="60" w:type="dxa"/>
              <w:left w:w="100" w:type="dxa"/>
              <w:bottom w:w="60" w:type="dxa"/>
              <w:right w:w="100" w:type="dxa"/>
            </w:tcMar>
          </w:tcPr>
          <w:p w14:paraId="6AD44BE3" w14:textId="77777777" w:rsidR="009B0ED7" w:rsidRDefault="00000000">
            <w:pPr>
              <w:spacing w:before="20" w:after="20"/>
              <w:jc w:val="center"/>
            </w:pPr>
            <w:r>
              <w:rPr>
                <w:b/>
                <w:bCs/>
                <w:color w:val="2E7D32"/>
                <w:sz w:val="17"/>
                <w:szCs w:val="17"/>
              </w:rPr>
              <w:t>STRONG</w:t>
            </w:r>
          </w:p>
        </w:tc>
      </w:tr>
      <w:tr w:rsidR="009B0ED7" w14:paraId="74C5A4F3"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63450A2" w14:textId="77777777" w:rsidR="009B0ED7" w:rsidRDefault="00000000">
            <w:pPr>
              <w:spacing w:before="20" w:after="20"/>
            </w:pPr>
            <w:r>
              <w:rPr>
                <w:b/>
                <w:bCs/>
                <w:color w:val="404040"/>
                <w:sz w:val="17"/>
                <w:szCs w:val="17"/>
              </w:rPr>
              <w:t>Professional Dispositions</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005FBA5" w14:textId="77777777" w:rsidR="009B0ED7" w:rsidRDefault="00000000">
            <w:pPr>
              <w:spacing w:before="20" w:after="20"/>
              <w:jc w:val="center"/>
            </w:pPr>
            <w:r>
              <w:rPr>
                <w:color w:val="404040"/>
                <w:sz w:val="17"/>
                <w:szCs w:val="17"/>
              </w:rPr>
              <w:t>3.89</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093A38A" w14:textId="77777777" w:rsidR="009B0ED7" w:rsidRDefault="00000000">
            <w:pPr>
              <w:spacing w:before="20" w:after="20"/>
              <w:jc w:val="center"/>
            </w:pPr>
            <w:r>
              <w:rPr>
                <w:color w:val="404040"/>
                <w:sz w:val="17"/>
                <w:szCs w:val="17"/>
              </w:rPr>
              <w:t>3.84</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AF59A41" w14:textId="77777777" w:rsidR="009B0ED7" w:rsidRDefault="00000000">
            <w:pPr>
              <w:spacing w:before="20" w:after="20"/>
              <w:jc w:val="center"/>
            </w:pPr>
            <w:r>
              <w:rPr>
                <w:color w:val="404040"/>
                <w:sz w:val="17"/>
                <w:szCs w:val="17"/>
              </w:rPr>
              <w:t>3.36</w:t>
            </w:r>
          </w:p>
        </w:tc>
        <w:tc>
          <w:tcPr>
            <w:tcW w:w="1500" w:type="dxa"/>
            <w:tcBorders>
              <w:top w:val="single" w:sz="1" w:space="0" w:color="CCCCCC"/>
              <w:left w:val="single" w:sz="1" w:space="0" w:color="CCCCCC"/>
              <w:bottom w:val="single" w:sz="1" w:space="0" w:color="CCCCCC"/>
              <w:right w:val="single" w:sz="1" w:space="0" w:color="CCCCCC"/>
            </w:tcBorders>
            <w:shd w:val="clear" w:color="auto" w:fill="C8E6C9"/>
            <w:tcMar>
              <w:top w:w="60" w:type="dxa"/>
              <w:left w:w="100" w:type="dxa"/>
              <w:bottom w:w="60" w:type="dxa"/>
              <w:right w:w="100" w:type="dxa"/>
            </w:tcMar>
          </w:tcPr>
          <w:p w14:paraId="1B2BA780" w14:textId="77777777" w:rsidR="009B0ED7" w:rsidRDefault="00000000">
            <w:pPr>
              <w:spacing w:before="20" w:after="20"/>
              <w:jc w:val="center"/>
            </w:pPr>
            <w:r>
              <w:rPr>
                <w:b/>
                <w:bCs/>
                <w:color w:val="2E7D32"/>
                <w:sz w:val="17"/>
                <w:szCs w:val="17"/>
              </w:rPr>
              <w:t>STRONG</w:t>
            </w:r>
          </w:p>
        </w:tc>
      </w:tr>
      <w:tr w:rsidR="009B0ED7" w14:paraId="657DFDF4"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55FB1B" w14:textId="77777777" w:rsidR="009B0ED7" w:rsidRDefault="00000000">
            <w:pPr>
              <w:spacing w:before="20" w:after="20"/>
            </w:pPr>
            <w:r>
              <w:rPr>
                <w:b/>
                <w:bCs/>
                <w:color w:val="404040"/>
                <w:sz w:val="17"/>
                <w:szCs w:val="17"/>
              </w:rPr>
              <w:t>Content Knowledge</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8F2C2D" w14:textId="77777777" w:rsidR="009B0ED7" w:rsidRDefault="00000000">
            <w:pPr>
              <w:spacing w:before="20" w:after="20"/>
              <w:jc w:val="center"/>
            </w:pPr>
            <w:r>
              <w:rPr>
                <w:color w:val="404040"/>
                <w:sz w:val="17"/>
                <w:szCs w:val="17"/>
              </w:rPr>
              <w:t>3.84–3.88</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9E8D5D" w14:textId="77777777" w:rsidR="009B0ED7" w:rsidRDefault="00000000">
            <w:pPr>
              <w:spacing w:before="20" w:after="20"/>
              <w:jc w:val="center"/>
            </w:pPr>
            <w:r>
              <w:rPr>
                <w:color w:val="404040"/>
                <w:sz w:val="17"/>
                <w:szCs w:val="17"/>
              </w:rPr>
              <w:t>3.75–4.00</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A232E1" w14:textId="77777777" w:rsidR="009B0ED7" w:rsidRDefault="00000000">
            <w:pPr>
              <w:spacing w:before="20" w:after="20"/>
              <w:jc w:val="center"/>
            </w:pPr>
            <w:r>
              <w:rPr>
                <w:color w:val="404040"/>
                <w:sz w:val="17"/>
                <w:szCs w:val="17"/>
              </w:rPr>
              <w:t>3.27</w:t>
            </w:r>
          </w:p>
        </w:tc>
        <w:tc>
          <w:tcPr>
            <w:tcW w:w="1500" w:type="dxa"/>
            <w:tcBorders>
              <w:top w:val="single" w:sz="1" w:space="0" w:color="CCCCCC"/>
              <w:left w:val="single" w:sz="1" w:space="0" w:color="CCCCCC"/>
              <w:bottom w:val="single" w:sz="1" w:space="0" w:color="CCCCCC"/>
              <w:right w:val="single" w:sz="1" w:space="0" w:color="CCCCCC"/>
            </w:tcBorders>
            <w:shd w:val="clear" w:color="auto" w:fill="C8E6C9"/>
            <w:tcMar>
              <w:top w:w="60" w:type="dxa"/>
              <w:left w:w="100" w:type="dxa"/>
              <w:bottom w:w="60" w:type="dxa"/>
              <w:right w:w="100" w:type="dxa"/>
            </w:tcMar>
          </w:tcPr>
          <w:p w14:paraId="5786B296" w14:textId="77777777" w:rsidR="009B0ED7" w:rsidRDefault="00000000">
            <w:pPr>
              <w:spacing w:before="20" w:after="20"/>
              <w:jc w:val="center"/>
            </w:pPr>
            <w:r>
              <w:rPr>
                <w:b/>
                <w:bCs/>
                <w:color w:val="2E7D32"/>
                <w:sz w:val="17"/>
                <w:szCs w:val="17"/>
              </w:rPr>
              <w:t>STRONG</w:t>
            </w:r>
          </w:p>
        </w:tc>
      </w:tr>
      <w:tr w:rsidR="009B0ED7" w14:paraId="6A872DD9"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D847533" w14:textId="77777777" w:rsidR="009B0ED7" w:rsidRDefault="00000000">
            <w:pPr>
              <w:spacing w:before="20" w:after="20"/>
            </w:pPr>
            <w:r>
              <w:rPr>
                <w:b/>
                <w:bCs/>
                <w:color w:val="404040"/>
                <w:sz w:val="17"/>
                <w:szCs w:val="17"/>
              </w:rPr>
              <w:t>Faculty / Mentoring</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D90ED29" w14:textId="77777777" w:rsidR="009B0ED7" w:rsidRDefault="00000000">
            <w:pPr>
              <w:spacing w:before="20" w:after="20"/>
              <w:jc w:val="center"/>
            </w:pPr>
            <w:r>
              <w:rPr>
                <w:color w:val="404040"/>
                <w:sz w:val="17"/>
                <w:szCs w:val="17"/>
              </w:rPr>
              <w:t>Top qual. theme</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E70A3F" w14:textId="77777777" w:rsidR="009B0ED7" w:rsidRDefault="00000000">
            <w:pPr>
              <w:spacing w:before="20" w:after="20"/>
              <w:jc w:val="center"/>
            </w:pPr>
            <w:r>
              <w:rPr>
                <w:color w:val="404040"/>
                <w:sz w:val="17"/>
                <w:szCs w:val="17"/>
              </w:rPr>
              <w:t>Top qual. theme</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980F03F" w14:textId="77777777" w:rsidR="009B0ED7" w:rsidRDefault="00000000">
            <w:pPr>
              <w:spacing w:before="20" w:after="20"/>
              <w:jc w:val="center"/>
            </w:pPr>
            <w:r>
              <w:rPr>
                <w:color w:val="404040"/>
                <w:sz w:val="17"/>
                <w:szCs w:val="17"/>
              </w:rPr>
              <w:t>Qual. support</w:t>
            </w:r>
          </w:p>
        </w:tc>
        <w:tc>
          <w:tcPr>
            <w:tcW w:w="1500" w:type="dxa"/>
            <w:tcBorders>
              <w:top w:val="single" w:sz="1" w:space="0" w:color="CCCCCC"/>
              <w:left w:val="single" w:sz="1" w:space="0" w:color="CCCCCC"/>
              <w:bottom w:val="single" w:sz="1" w:space="0" w:color="CCCCCC"/>
              <w:right w:val="single" w:sz="1" w:space="0" w:color="CCCCCC"/>
            </w:tcBorders>
            <w:shd w:val="clear" w:color="auto" w:fill="C8E6C9"/>
            <w:tcMar>
              <w:top w:w="60" w:type="dxa"/>
              <w:left w:w="100" w:type="dxa"/>
              <w:bottom w:w="60" w:type="dxa"/>
              <w:right w:w="100" w:type="dxa"/>
            </w:tcMar>
          </w:tcPr>
          <w:p w14:paraId="628D8729" w14:textId="77777777" w:rsidR="009B0ED7" w:rsidRDefault="00000000">
            <w:pPr>
              <w:spacing w:before="20" w:after="20"/>
              <w:jc w:val="center"/>
            </w:pPr>
            <w:r>
              <w:rPr>
                <w:b/>
                <w:bCs/>
                <w:color w:val="2E7D32"/>
                <w:sz w:val="17"/>
                <w:szCs w:val="17"/>
              </w:rPr>
              <w:t>STRONG</w:t>
            </w:r>
          </w:p>
        </w:tc>
      </w:tr>
      <w:tr w:rsidR="009B0ED7" w14:paraId="66AC65EC"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F6C4A2" w14:textId="77777777" w:rsidR="009B0ED7" w:rsidRDefault="00000000">
            <w:pPr>
              <w:spacing w:before="20" w:after="20"/>
            </w:pPr>
            <w:r>
              <w:rPr>
                <w:b/>
                <w:bCs/>
                <w:color w:val="404040"/>
                <w:sz w:val="17"/>
                <w:szCs w:val="17"/>
              </w:rPr>
              <w:t>Technology / AI</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E25CC9" w14:textId="77777777" w:rsidR="009B0ED7" w:rsidRDefault="00000000">
            <w:pPr>
              <w:spacing w:before="20" w:after="20"/>
              <w:jc w:val="center"/>
            </w:pPr>
            <w:r>
              <w:rPr>
                <w:color w:val="404040"/>
                <w:sz w:val="17"/>
                <w:szCs w:val="17"/>
              </w:rPr>
              <w:t>3.68–3.83</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0E4E01" w14:textId="77777777" w:rsidR="009B0ED7" w:rsidRDefault="00000000">
            <w:pPr>
              <w:spacing w:before="20" w:after="20"/>
              <w:jc w:val="center"/>
            </w:pPr>
            <w:r>
              <w:rPr>
                <w:color w:val="404040"/>
                <w:sz w:val="17"/>
                <w:szCs w:val="17"/>
              </w:rPr>
              <w:t>3.33–3.67</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D3650A" w14:textId="77777777" w:rsidR="009B0ED7" w:rsidRDefault="00000000">
            <w:pPr>
              <w:spacing w:before="20" w:after="20"/>
              <w:jc w:val="center"/>
            </w:pPr>
            <w:r>
              <w:rPr>
                <w:color w:val="404040"/>
                <w:sz w:val="17"/>
                <w:szCs w:val="17"/>
              </w:rPr>
              <w:t>3.18 (Lowest)</w:t>
            </w:r>
          </w:p>
        </w:tc>
        <w:tc>
          <w:tcPr>
            <w:tcW w:w="1500" w:type="dxa"/>
            <w:tcBorders>
              <w:top w:val="single" w:sz="1" w:space="0" w:color="CCCCCC"/>
              <w:left w:val="single" w:sz="1" w:space="0" w:color="CCCCCC"/>
              <w:bottom w:val="single" w:sz="1" w:space="0" w:color="CCCCCC"/>
              <w:right w:val="single" w:sz="1" w:space="0" w:color="CCCCCC"/>
            </w:tcBorders>
            <w:shd w:val="clear" w:color="auto" w:fill="FFF9C4"/>
            <w:tcMar>
              <w:top w:w="60" w:type="dxa"/>
              <w:left w:w="100" w:type="dxa"/>
              <w:bottom w:w="60" w:type="dxa"/>
              <w:right w:w="100" w:type="dxa"/>
            </w:tcMar>
          </w:tcPr>
          <w:p w14:paraId="51D80108" w14:textId="77777777" w:rsidR="009B0ED7" w:rsidRDefault="00000000">
            <w:pPr>
              <w:spacing w:before="20" w:after="20"/>
              <w:jc w:val="center"/>
            </w:pPr>
            <w:r>
              <w:rPr>
                <w:b/>
                <w:bCs/>
                <w:color w:val="F57F17"/>
                <w:sz w:val="17"/>
                <w:szCs w:val="17"/>
              </w:rPr>
              <w:t>IMPROVE</w:t>
            </w:r>
          </w:p>
        </w:tc>
      </w:tr>
      <w:tr w:rsidR="009B0ED7" w14:paraId="67AD4418"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ECEFCA7" w14:textId="77777777" w:rsidR="009B0ED7" w:rsidRDefault="00000000">
            <w:pPr>
              <w:spacing w:before="20" w:after="20"/>
            </w:pPr>
            <w:r>
              <w:rPr>
                <w:b/>
                <w:bCs/>
                <w:color w:val="404040"/>
                <w:sz w:val="17"/>
                <w:szCs w:val="17"/>
              </w:rPr>
              <w:t>Assessment Literacy</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5BF7E6A" w14:textId="77777777" w:rsidR="009B0ED7" w:rsidRDefault="00000000">
            <w:pPr>
              <w:spacing w:before="20" w:after="20"/>
              <w:jc w:val="center"/>
            </w:pPr>
            <w:r>
              <w:rPr>
                <w:color w:val="404040"/>
                <w:sz w:val="17"/>
                <w:szCs w:val="17"/>
              </w:rPr>
              <w:t>3.72–3.76</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E6189FC" w14:textId="77777777" w:rsidR="009B0ED7" w:rsidRDefault="00000000">
            <w:pPr>
              <w:spacing w:before="20" w:after="20"/>
              <w:jc w:val="center"/>
            </w:pPr>
            <w:r>
              <w:rPr>
                <w:color w:val="404040"/>
                <w:sz w:val="17"/>
                <w:szCs w:val="17"/>
              </w:rPr>
              <w:t>3.83–3.92</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EF794CF" w14:textId="77777777" w:rsidR="009B0ED7" w:rsidRDefault="00000000">
            <w:pPr>
              <w:spacing w:before="20" w:after="20"/>
              <w:jc w:val="center"/>
            </w:pPr>
            <w:r>
              <w:rPr>
                <w:color w:val="404040"/>
                <w:sz w:val="17"/>
                <w:szCs w:val="17"/>
              </w:rPr>
              <w:t>3.27</w:t>
            </w:r>
          </w:p>
        </w:tc>
        <w:tc>
          <w:tcPr>
            <w:tcW w:w="1500" w:type="dxa"/>
            <w:tcBorders>
              <w:top w:val="single" w:sz="1" w:space="0" w:color="CCCCCC"/>
              <w:left w:val="single" w:sz="1" w:space="0" w:color="CCCCCC"/>
              <w:bottom w:val="single" w:sz="1" w:space="0" w:color="CCCCCC"/>
              <w:right w:val="single" w:sz="1" w:space="0" w:color="CCCCCC"/>
            </w:tcBorders>
            <w:shd w:val="clear" w:color="auto" w:fill="FFF9C4"/>
            <w:tcMar>
              <w:top w:w="60" w:type="dxa"/>
              <w:left w:w="100" w:type="dxa"/>
              <w:bottom w:w="60" w:type="dxa"/>
              <w:right w:w="100" w:type="dxa"/>
            </w:tcMar>
          </w:tcPr>
          <w:p w14:paraId="7B14CA99" w14:textId="77777777" w:rsidR="009B0ED7" w:rsidRDefault="00000000">
            <w:pPr>
              <w:spacing w:before="20" w:after="20"/>
              <w:jc w:val="center"/>
            </w:pPr>
            <w:r>
              <w:rPr>
                <w:b/>
                <w:bCs/>
                <w:color w:val="F57F17"/>
                <w:sz w:val="17"/>
                <w:szCs w:val="17"/>
              </w:rPr>
              <w:t>IMPROVE</w:t>
            </w:r>
          </w:p>
        </w:tc>
      </w:tr>
      <w:tr w:rsidR="009B0ED7" w14:paraId="7207B793"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1A37F0" w14:textId="77777777" w:rsidR="009B0ED7" w:rsidRDefault="00000000">
            <w:pPr>
              <w:spacing w:before="20" w:after="20"/>
            </w:pPr>
            <w:r>
              <w:rPr>
                <w:b/>
                <w:bCs/>
                <w:color w:val="404040"/>
                <w:sz w:val="17"/>
                <w:szCs w:val="17"/>
              </w:rPr>
              <w:t>Prof. Organizations</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E0EF9D" w14:textId="77777777" w:rsidR="009B0ED7" w:rsidRDefault="00000000">
            <w:pPr>
              <w:spacing w:before="20" w:after="20"/>
              <w:jc w:val="center"/>
            </w:pPr>
            <w:r>
              <w:rPr>
                <w:color w:val="404040"/>
                <w:sz w:val="17"/>
                <w:szCs w:val="17"/>
              </w:rPr>
              <w:t>3.80 (96%)</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555CC9" w14:textId="77777777" w:rsidR="009B0ED7" w:rsidRDefault="00000000">
            <w:pPr>
              <w:spacing w:before="20" w:after="20"/>
              <w:jc w:val="center"/>
            </w:pPr>
            <w:r>
              <w:rPr>
                <w:color w:val="404040"/>
                <w:sz w:val="17"/>
                <w:szCs w:val="17"/>
              </w:rPr>
              <w:t>3.50 (83%)</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D56383" w14:textId="77777777" w:rsidR="009B0ED7" w:rsidRDefault="00000000">
            <w:pPr>
              <w:spacing w:before="20" w:after="20"/>
              <w:jc w:val="center"/>
            </w:pPr>
            <w:r>
              <w:rPr>
                <w:color w:val="404040"/>
                <w:sz w:val="17"/>
                <w:szCs w:val="17"/>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9C4"/>
            <w:tcMar>
              <w:top w:w="60" w:type="dxa"/>
              <w:left w:w="100" w:type="dxa"/>
              <w:bottom w:w="60" w:type="dxa"/>
              <w:right w:w="100" w:type="dxa"/>
            </w:tcMar>
          </w:tcPr>
          <w:p w14:paraId="4B575FEC" w14:textId="77777777" w:rsidR="009B0ED7" w:rsidRDefault="00000000">
            <w:pPr>
              <w:spacing w:before="20" w:after="20"/>
              <w:jc w:val="center"/>
            </w:pPr>
            <w:r>
              <w:rPr>
                <w:b/>
                <w:bCs/>
                <w:color w:val="F57F17"/>
                <w:sz w:val="17"/>
                <w:szCs w:val="17"/>
              </w:rPr>
              <w:t>IMPROVE</w:t>
            </w:r>
          </w:p>
        </w:tc>
      </w:tr>
      <w:tr w:rsidR="009B0ED7" w14:paraId="6D4CAA6C"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D1A7040" w14:textId="77777777" w:rsidR="009B0ED7" w:rsidRDefault="00000000">
            <w:pPr>
              <w:spacing w:before="20" w:after="20"/>
            </w:pPr>
            <w:r>
              <w:rPr>
                <w:b/>
                <w:bCs/>
                <w:color w:val="404040"/>
                <w:sz w:val="17"/>
                <w:szCs w:val="17"/>
              </w:rPr>
              <w:t>Clinical / Coop. Teacher</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A5105AA" w14:textId="77777777" w:rsidR="009B0ED7" w:rsidRDefault="00000000">
            <w:pPr>
              <w:spacing w:before="20" w:after="20"/>
              <w:jc w:val="center"/>
            </w:pPr>
            <w:r>
              <w:rPr>
                <w:color w:val="404040"/>
                <w:sz w:val="17"/>
                <w:szCs w:val="17"/>
              </w:rPr>
              <w:t>3.76–3.80</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153305C" w14:textId="77777777" w:rsidR="009B0ED7" w:rsidRDefault="00000000">
            <w:pPr>
              <w:spacing w:before="20" w:after="20"/>
              <w:jc w:val="center"/>
            </w:pPr>
            <w:r>
              <w:rPr>
                <w:color w:val="404040"/>
                <w:sz w:val="17"/>
                <w:szCs w:val="17"/>
              </w:rPr>
              <w:t>3.75 (92%)</w:t>
            </w:r>
          </w:p>
        </w:tc>
        <w:tc>
          <w:tcPr>
            <w:tcW w:w="19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F731EF3" w14:textId="77777777" w:rsidR="009B0ED7" w:rsidRDefault="00000000">
            <w:pPr>
              <w:spacing w:before="20" w:after="20"/>
              <w:jc w:val="center"/>
            </w:pPr>
            <w:r>
              <w:rPr>
                <w:color w:val="404040"/>
                <w:sz w:val="17"/>
                <w:szCs w:val="17"/>
              </w:rPr>
              <w:t>Qual. theme</w:t>
            </w:r>
          </w:p>
        </w:tc>
        <w:tc>
          <w:tcPr>
            <w:tcW w:w="1500" w:type="dxa"/>
            <w:tcBorders>
              <w:top w:val="single" w:sz="1" w:space="0" w:color="CCCCCC"/>
              <w:left w:val="single" w:sz="1" w:space="0" w:color="CCCCCC"/>
              <w:bottom w:val="single" w:sz="1" w:space="0" w:color="CCCCCC"/>
              <w:right w:val="single" w:sz="1" w:space="0" w:color="CCCCCC"/>
            </w:tcBorders>
            <w:shd w:val="clear" w:color="auto" w:fill="FFF9C4"/>
            <w:tcMar>
              <w:top w:w="60" w:type="dxa"/>
              <w:left w:w="100" w:type="dxa"/>
              <w:bottom w:w="60" w:type="dxa"/>
              <w:right w:w="100" w:type="dxa"/>
            </w:tcMar>
          </w:tcPr>
          <w:p w14:paraId="6E772ED6" w14:textId="77777777" w:rsidR="009B0ED7" w:rsidRDefault="00000000">
            <w:pPr>
              <w:spacing w:before="20" w:after="20"/>
              <w:jc w:val="center"/>
            </w:pPr>
            <w:r>
              <w:rPr>
                <w:b/>
                <w:bCs/>
                <w:color w:val="F57F17"/>
                <w:sz w:val="17"/>
                <w:szCs w:val="17"/>
              </w:rPr>
              <w:t>IMPROVE</w:t>
            </w:r>
          </w:p>
        </w:tc>
      </w:tr>
      <w:tr w:rsidR="009B0ED7" w14:paraId="549B6C2B"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32D39E" w14:textId="77777777" w:rsidR="009B0ED7" w:rsidRDefault="00000000">
            <w:pPr>
              <w:spacing w:before="20" w:after="20"/>
            </w:pPr>
            <w:r>
              <w:rPr>
                <w:b/>
                <w:bCs/>
                <w:color w:val="404040"/>
                <w:sz w:val="17"/>
                <w:szCs w:val="17"/>
              </w:rPr>
              <w:t>Differentiation / SpEd</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ED1AE9" w14:textId="77777777" w:rsidR="009B0ED7" w:rsidRDefault="00000000">
            <w:pPr>
              <w:spacing w:before="20" w:after="20"/>
              <w:jc w:val="center"/>
            </w:pPr>
            <w:r>
              <w:rPr>
                <w:color w:val="404040"/>
                <w:sz w:val="17"/>
                <w:szCs w:val="17"/>
              </w:rPr>
              <w:t>3.76 (96%)</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2E0D32" w14:textId="77777777" w:rsidR="009B0ED7" w:rsidRDefault="00000000">
            <w:pPr>
              <w:spacing w:before="20" w:after="20"/>
              <w:jc w:val="center"/>
            </w:pPr>
            <w:r>
              <w:rPr>
                <w:color w:val="404040"/>
                <w:sz w:val="17"/>
                <w:szCs w:val="17"/>
              </w:rPr>
              <w:t>Qual. theme</w:t>
            </w:r>
          </w:p>
        </w:tc>
        <w:tc>
          <w:tcPr>
            <w:tcW w:w="19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BD2BFB" w14:textId="77777777" w:rsidR="009B0ED7" w:rsidRDefault="00000000">
            <w:pPr>
              <w:spacing w:before="20" w:after="20"/>
              <w:jc w:val="center"/>
            </w:pPr>
            <w:r>
              <w:rPr>
                <w:color w:val="404040"/>
                <w:sz w:val="17"/>
                <w:szCs w:val="17"/>
              </w:rPr>
              <w:t>3.18–3.27</w:t>
            </w:r>
          </w:p>
        </w:tc>
        <w:tc>
          <w:tcPr>
            <w:tcW w:w="1500" w:type="dxa"/>
            <w:tcBorders>
              <w:top w:val="single" w:sz="1" w:space="0" w:color="CCCCCC"/>
              <w:left w:val="single" w:sz="1" w:space="0" w:color="CCCCCC"/>
              <w:bottom w:val="single" w:sz="1" w:space="0" w:color="CCCCCC"/>
              <w:right w:val="single" w:sz="1" w:space="0" w:color="CCCCCC"/>
            </w:tcBorders>
            <w:shd w:val="clear" w:color="auto" w:fill="FFF9C4"/>
            <w:tcMar>
              <w:top w:w="60" w:type="dxa"/>
              <w:left w:w="100" w:type="dxa"/>
              <w:bottom w:w="60" w:type="dxa"/>
              <w:right w:w="100" w:type="dxa"/>
            </w:tcMar>
          </w:tcPr>
          <w:p w14:paraId="654CF68D" w14:textId="77777777" w:rsidR="009B0ED7" w:rsidRDefault="00000000">
            <w:pPr>
              <w:spacing w:before="20" w:after="20"/>
              <w:jc w:val="center"/>
            </w:pPr>
            <w:r>
              <w:rPr>
                <w:b/>
                <w:bCs/>
                <w:color w:val="F57F17"/>
                <w:sz w:val="17"/>
                <w:szCs w:val="17"/>
              </w:rPr>
              <w:t>IMPROVE</w:t>
            </w:r>
          </w:p>
        </w:tc>
      </w:tr>
    </w:tbl>
    <w:p w14:paraId="69918B81" w14:textId="77777777" w:rsidR="009B0ED7" w:rsidRDefault="009B0ED7">
      <w:pPr>
        <w:spacing w:before="40" w:after="40"/>
      </w:pPr>
    </w:p>
    <w:p w14:paraId="0FA1C48F" w14:textId="77777777" w:rsidR="009B0ED7" w:rsidRDefault="00000000">
      <w:pPr>
        <w:spacing w:before="80" w:after="80" w:line="276" w:lineRule="auto"/>
      </w:pPr>
      <w:r>
        <w:rPr>
          <w:color w:val="404040"/>
        </w:rPr>
        <w:t>The convergence column indicates whether findings are consistent across sources: STRONG = convergent strength across 2–3 sources; IMPROVE = convergent area for improvement across 2–3 sources.</w:t>
      </w:r>
    </w:p>
    <w:p w14:paraId="4BFE5C9E" w14:textId="77777777" w:rsidR="009B0ED7" w:rsidRDefault="00000000">
      <w:pPr>
        <w:pStyle w:val="Heading1"/>
      </w:pPr>
      <w:r>
        <w:t>6. Self-Assessment vs. External Evaluation Gap</w:t>
      </w:r>
    </w:p>
    <w:p w14:paraId="7833FBDA" w14:textId="77777777" w:rsidR="009B0ED7" w:rsidRDefault="00000000">
      <w:pPr>
        <w:spacing w:before="80" w:after="80" w:line="276" w:lineRule="auto"/>
      </w:pPr>
      <w:r>
        <w:rPr>
          <w:color w:val="404040"/>
        </w:rPr>
        <w:t>An important pattern emerges when comparing self-reported data (completers and alumni) with externally observed data (employers). Across all competency areas, completer and alumni self-assessments are consistently higher than employer ratings. The overall gap is approximately 0.5–0.6 points on the 4-point scale:</w:t>
      </w:r>
    </w:p>
    <w:p w14:paraId="7D51CDF5" w14:textId="77777777" w:rsidR="009B0ED7" w:rsidRDefault="009B0ED7">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2080"/>
        <w:gridCol w:w="2080"/>
        <w:gridCol w:w="2080"/>
      </w:tblGrid>
      <w:tr w:rsidR="009B0ED7" w14:paraId="6D77D28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6572245" w14:textId="77777777" w:rsidR="009B0ED7" w:rsidRDefault="00000000">
            <w:pPr>
              <w:jc w:val="center"/>
            </w:pPr>
            <w:r>
              <w:rPr>
                <w:b/>
                <w:bCs/>
                <w:color w:val="FFFFFF"/>
                <w:sz w:val="17"/>
                <w:szCs w:val="17"/>
              </w:rPr>
              <w:t>Measure</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7CA8B0F" w14:textId="77777777" w:rsidR="009B0ED7" w:rsidRDefault="00000000">
            <w:pPr>
              <w:jc w:val="center"/>
            </w:pPr>
            <w:r>
              <w:rPr>
                <w:b/>
                <w:bCs/>
                <w:color w:val="FFFFFF"/>
                <w:sz w:val="17"/>
                <w:szCs w:val="17"/>
              </w:rPr>
              <w:t>Self-Report</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04577B2" w14:textId="77777777" w:rsidR="009B0ED7" w:rsidRDefault="00000000">
            <w:pPr>
              <w:jc w:val="center"/>
            </w:pPr>
            <w:r>
              <w:rPr>
                <w:b/>
                <w:bCs/>
                <w:color w:val="FFFFFF"/>
                <w:sz w:val="17"/>
                <w:szCs w:val="17"/>
              </w:rPr>
              <w:t>Employer</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40DB8D0" w14:textId="77777777" w:rsidR="009B0ED7" w:rsidRDefault="00000000">
            <w:pPr>
              <w:jc w:val="center"/>
            </w:pPr>
            <w:r>
              <w:rPr>
                <w:b/>
                <w:bCs/>
                <w:color w:val="FFFFFF"/>
                <w:sz w:val="17"/>
                <w:szCs w:val="17"/>
              </w:rPr>
              <w:t>Gap</w:t>
            </w:r>
          </w:p>
        </w:tc>
      </w:tr>
      <w:tr w:rsidR="009B0ED7" w14:paraId="604DFC2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D4BCD8" w14:textId="77777777" w:rsidR="009B0ED7" w:rsidRDefault="00000000">
            <w:pPr>
              <w:spacing w:before="20" w:after="20"/>
            </w:pPr>
            <w:r>
              <w:rPr>
                <w:color w:val="404040"/>
                <w:sz w:val="17"/>
                <w:szCs w:val="17"/>
              </w:rPr>
              <w:t>Overall Mean</w:t>
            </w:r>
          </w:p>
        </w:tc>
        <w:tc>
          <w:tcPr>
            <w:tcW w:w="20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5D73AD" w14:textId="77777777" w:rsidR="009B0ED7" w:rsidRDefault="00000000">
            <w:pPr>
              <w:spacing w:before="20" w:after="20"/>
              <w:jc w:val="center"/>
            </w:pPr>
            <w:r>
              <w:rPr>
                <w:color w:val="404040"/>
                <w:sz w:val="17"/>
                <w:szCs w:val="17"/>
              </w:rPr>
              <w:t>3.84 (avg)</w:t>
            </w:r>
          </w:p>
        </w:tc>
        <w:tc>
          <w:tcPr>
            <w:tcW w:w="20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2B7916" w14:textId="77777777" w:rsidR="009B0ED7" w:rsidRDefault="00000000">
            <w:pPr>
              <w:spacing w:before="20" w:after="20"/>
              <w:jc w:val="center"/>
            </w:pPr>
            <w:r>
              <w:rPr>
                <w:color w:val="404040"/>
                <w:sz w:val="17"/>
                <w:szCs w:val="17"/>
              </w:rPr>
              <w:t>3.30</w:t>
            </w:r>
          </w:p>
        </w:tc>
        <w:tc>
          <w:tcPr>
            <w:tcW w:w="20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D0EE2C" w14:textId="77777777" w:rsidR="009B0ED7" w:rsidRDefault="00000000">
            <w:pPr>
              <w:spacing w:before="20" w:after="20"/>
              <w:jc w:val="center"/>
            </w:pPr>
            <w:r>
              <w:rPr>
                <w:color w:val="404040"/>
                <w:sz w:val="17"/>
                <w:szCs w:val="17"/>
              </w:rPr>
              <w:t>−0.54</w:t>
            </w:r>
          </w:p>
        </w:tc>
      </w:tr>
      <w:tr w:rsidR="009B0ED7" w14:paraId="04655AF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CE5847" w14:textId="77777777" w:rsidR="009B0ED7" w:rsidRDefault="00000000">
            <w:pPr>
              <w:spacing w:before="20" w:after="20"/>
            </w:pPr>
            <w:r>
              <w:rPr>
                <w:color w:val="404040"/>
                <w:sz w:val="17"/>
                <w:szCs w:val="17"/>
              </w:rPr>
              <w:t>Technology</w:t>
            </w:r>
          </w:p>
        </w:tc>
        <w:tc>
          <w:tcPr>
            <w:tcW w:w="208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91D70E9" w14:textId="77777777" w:rsidR="009B0ED7" w:rsidRDefault="00000000">
            <w:pPr>
              <w:spacing w:before="20" w:after="20"/>
              <w:jc w:val="center"/>
            </w:pPr>
            <w:r>
              <w:rPr>
                <w:color w:val="404040"/>
                <w:sz w:val="17"/>
                <w:szCs w:val="17"/>
              </w:rPr>
              <w:t>3.75 (avg)</w:t>
            </w:r>
          </w:p>
        </w:tc>
        <w:tc>
          <w:tcPr>
            <w:tcW w:w="208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8181AD" w14:textId="77777777" w:rsidR="009B0ED7" w:rsidRDefault="00000000">
            <w:pPr>
              <w:spacing w:before="20" w:after="20"/>
              <w:jc w:val="center"/>
            </w:pPr>
            <w:r>
              <w:rPr>
                <w:color w:val="404040"/>
                <w:sz w:val="17"/>
                <w:szCs w:val="17"/>
              </w:rPr>
              <w:t>3.18</w:t>
            </w:r>
          </w:p>
        </w:tc>
        <w:tc>
          <w:tcPr>
            <w:tcW w:w="208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85873F5" w14:textId="77777777" w:rsidR="009B0ED7" w:rsidRDefault="00000000">
            <w:pPr>
              <w:spacing w:before="20" w:after="20"/>
              <w:jc w:val="center"/>
            </w:pPr>
            <w:r>
              <w:rPr>
                <w:color w:val="404040"/>
                <w:sz w:val="17"/>
                <w:szCs w:val="17"/>
              </w:rPr>
              <w:t>−0.57</w:t>
            </w:r>
          </w:p>
        </w:tc>
      </w:tr>
      <w:tr w:rsidR="009B0ED7" w14:paraId="4947E20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6085B6" w14:textId="77777777" w:rsidR="009B0ED7" w:rsidRDefault="00000000">
            <w:pPr>
              <w:spacing w:before="20" w:after="20"/>
            </w:pPr>
            <w:r>
              <w:rPr>
                <w:color w:val="404040"/>
                <w:sz w:val="17"/>
                <w:szCs w:val="17"/>
              </w:rPr>
              <w:t>Assessment</w:t>
            </w:r>
          </w:p>
        </w:tc>
        <w:tc>
          <w:tcPr>
            <w:tcW w:w="20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F65CDF" w14:textId="77777777" w:rsidR="009B0ED7" w:rsidRDefault="00000000">
            <w:pPr>
              <w:spacing w:before="20" w:after="20"/>
              <w:jc w:val="center"/>
            </w:pPr>
            <w:r>
              <w:rPr>
                <w:color w:val="404040"/>
                <w:sz w:val="17"/>
                <w:szCs w:val="17"/>
              </w:rPr>
              <w:t>3.80 (avg)</w:t>
            </w:r>
          </w:p>
        </w:tc>
        <w:tc>
          <w:tcPr>
            <w:tcW w:w="20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55DB56" w14:textId="77777777" w:rsidR="009B0ED7" w:rsidRDefault="00000000">
            <w:pPr>
              <w:spacing w:before="20" w:after="20"/>
              <w:jc w:val="center"/>
            </w:pPr>
            <w:r>
              <w:rPr>
                <w:color w:val="404040"/>
                <w:sz w:val="17"/>
                <w:szCs w:val="17"/>
              </w:rPr>
              <w:t>3.27</w:t>
            </w:r>
          </w:p>
        </w:tc>
        <w:tc>
          <w:tcPr>
            <w:tcW w:w="20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CC438A" w14:textId="77777777" w:rsidR="009B0ED7" w:rsidRDefault="00000000">
            <w:pPr>
              <w:spacing w:before="20" w:after="20"/>
              <w:jc w:val="center"/>
            </w:pPr>
            <w:r>
              <w:rPr>
                <w:color w:val="404040"/>
                <w:sz w:val="17"/>
                <w:szCs w:val="17"/>
              </w:rPr>
              <w:t>−0.53</w:t>
            </w:r>
          </w:p>
        </w:tc>
      </w:tr>
    </w:tbl>
    <w:p w14:paraId="65B7A2D3" w14:textId="77777777" w:rsidR="009B0ED7" w:rsidRDefault="009B0ED7">
      <w:pPr>
        <w:spacing w:before="40" w:after="40"/>
      </w:pPr>
    </w:p>
    <w:p w14:paraId="50EE68E5" w14:textId="77777777" w:rsidR="009B0ED7" w:rsidRDefault="00000000">
      <w:pPr>
        <w:spacing w:before="80" w:after="80" w:line="276" w:lineRule="auto"/>
      </w:pPr>
      <w:r>
        <w:rPr>
          <w:color w:val="404040"/>
        </w:rPr>
        <w:t>This gap is consistent with educational research showing that self-assessments tend to be higher than external evaluations. The consistency of the gap size (≈0.5 points) across competency areas suggests it reflects a systematic measurement difference rather than a specific program weakness. The critical finding is that employer ratings remain above 3.00 (Meets Expectations) across all domains, confirming that graduates are performing competently in professional settings despite the self-assessment gap.</w:t>
      </w:r>
    </w:p>
    <w:p w14:paraId="653AF6C6" w14:textId="77777777" w:rsidR="009B0ED7" w:rsidRDefault="00000000">
      <w:r>
        <w:br w:type="page"/>
      </w:r>
    </w:p>
    <w:p w14:paraId="221A051D" w14:textId="77777777" w:rsidR="009B0ED7" w:rsidRDefault="00000000">
      <w:pPr>
        <w:pStyle w:val="Heading1"/>
      </w:pPr>
      <w:r>
        <w:lastRenderedPageBreak/>
        <w:t>7. Evidence-Based Action Plan</w:t>
      </w:r>
    </w:p>
    <w:p w14:paraId="5B42F4B0" w14:textId="77777777" w:rsidR="009B0ED7" w:rsidRDefault="00000000">
      <w:pPr>
        <w:spacing w:before="80" w:after="80" w:line="276" w:lineRule="auto"/>
      </w:pPr>
      <w:r>
        <w:rPr>
          <w:color w:val="404040"/>
        </w:rPr>
        <w:t>Based on the triangulated findings, the EPP has developed the following priority action items, each supported by convergent evidence from multiple data sources:</w:t>
      </w:r>
    </w:p>
    <w:p w14:paraId="32B1E4E5" w14:textId="77777777" w:rsidR="009B0ED7" w:rsidRDefault="009B0ED7">
      <w:pPr>
        <w:spacing w:before="40" w:after="40"/>
      </w:pPr>
    </w:p>
    <w:p w14:paraId="6DA700AD" w14:textId="77777777" w:rsidR="009B0ED7" w:rsidRDefault="00000000">
      <w:pPr>
        <w:pStyle w:val="ListParagraph"/>
        <w:numPr>
          <w:ilvl w:val="0"/>
          <w:numId w:val="2"/>
        </w:numPr>
        <w:spacing w:before="60" w:after="60"/>
      </w:pPr>
      <w:r>
        <w:rPr>
          <w:b/>
          <w:bCs/>
          <w:color w:val="1F3864"/>
        </w:rPr>
        <w:t xml:space="preserve">Priority 1 — Technology and AI Integration: </w:t>
      </w:r>
      <w:r>
        <w:rPr>
          <w:color w:val="404040"/>
        </w:rPr>
        <w:t>Develop dedicated curricular modules on AI tools in education, interactive technologies, and DEPR-specific digital platforms. Create alumni-accessible professional development workshops on emerging technologies. (Supported by: all three surveys + qualitative data from all three sources)</w:t>
      </w:r>
    </w:p>
    <w:p w14:paraId="3AD1E4BC" w14:textId="77777777" w:rsidR="009B0ED7" w:rsidRDefault="00000000">
      <w:pPr>
        <w:pStyle w:val="ListParagraph"/>
        <w:numPr>
          <w:ilvl w:val="0"/>
          <w:numId w:val="2"/>
        </w:numPr>
        <w:spacing w:before="60" w:after="60"/>
      </w:pPr>
      <w:r>
        <w:rPr>
          <w:b/>
          <w:bCs/>
          <w:color w:val="1F3864"/>
        </w:rPr>
        <w:t xml:space="preserve">Priority 2 — Assessment Literacy: </w:t>
      </w:r>
      <w:r>
        <w:rPr>
          <w:color w:val="404040"/>
        </w:rPr>
        <w:t>Review the role of the Assessment of Learning course and consider reinstating it as a required component. Embed data-driven instruction and accommodation competencies across existing coursework. (Supported by: completer survey, employer survey, qualitative themes)</w:t>
      </w:r>
    </w:p>
    <w:p w14:paraId="2140CBC0" w14:textId="77777777" w:rsidR="009B0ED7" w:rsidRDefault="00000000">
      <w:pPr>
        <w:pStyle w:val="ListParagraph"/>
        <w:numPr>
          <w:ilvl w:val="0"/>
          <w:numId w:val="2"/>
        </w:numPr>
        <w:spacing w:before="60" w:after="60"/>
      </w:pPr>
      <w:r>
        <w:rPr>
          <w:b/>
          <w:bCs/>
          <w:color w:val="1F3864"/>
        </w:rPr>
        <w:t xml:space="preserve">Priority 3 — Clinical Experience Enhancement: </w:t>
      </w:r>
      <w:r>
        <w:rPr>
          <w:color w:val="404040"/>
        </w:rPr>
        <w:t>Develop and maintain a vetted cooperating teacher registry. Implement structured feedback protocols and introduce earlier clinical placements in the program sequence. Increase practicum hours as recommended by employers. (Supported by: all three surveys + qualitative data)</w:t>
      </w:r>
    </w:p>
    <w:p w14:paraId="4DD55B37" w14:textId="77777777" w:rsidR="009B0ED7" w:rsidRDefault="00000000">
      <w:pPr>
        <w:pStyle w:val="ListParagraph"/>
        <w:numPr>
          <w:ilvl w:val="0"/>
          <w:numId w:val="2"/>
        </w:numPr>
        <w:spacing w:before="60" w:after="60"/>
      </w:pPr>
      <w:r>
        <w:rPr>
          <w:b/>
          <w:bCs/>
          <w:color w:val="1F3864"/>
        </w:rPr>
        <w:t xml:space="preserve">Priority 4 — Differentiated Instruction and Special Education: </w:t>
      </w:r>
      <w:r>
        <w:rPr>
          <w:color w:val="404040"/>
        </w:rPr>
        <w:t>Revise coursework in differentiated instruction to align with employer feedback. Strengthen preparation for working with diverse learner populations, including students with disabilities. (Supported by: employer survey, completer data, alumni qualitative themes)</w:t>
      </w:r>
    </w:p>
    <w:p w14:paraId="0D193E5A" w14:textId="77777777" w:rsidR="009B0ED7" w:rsidRDefault="00000000">
      <w:pPr>
        <w:pStyle w:val="ListParagraph"/>
        <w:numPr>
          <w:ilvl w:val="0"/>
          <w:numId w:val="2"/>
        </w:numPr>
        <w:spacing w:before="60" w:after="60"/>
      </w:pPr>
      <w:r>
        <w:rPr>
          <w:b/>
          <w:bCs/>
          <w:color w:val="1F3864"/>
        </w:rPr>
        <w:t xml:space="preserve">Priority 5 — Professional Organization Engagement: </w:t>
      </w:r>
      <w:r>
        <w:rPr>
          <w:color w:val="404040"/>
        </w:rPr>
        <w:t>Create structured opportunities during candidacy for professional organization participation. Develop an alumni professional network to sustain engagement post-graduation. (Supported by: completer and alumni surveys)</w:t>
      </w:r>
    </w:p>
    <w:p w14:paraId="1C79AF5B" w14:textId="77777777" w:rsidR="009B0ED7" w:rsidRDefault="00000000">
      <w:pPr>
        <w:pStyle w:val="ListParagraph"/>
        <w:numPr>
          <w:ilvl w:val="0"/>
          <w:numId w:val="2"/>
        </w:numPr>
        <w:spacing w:before="60" w:after="60"/>
      </w:pPr>
      <w:r>
        <w:rPr>
          <w:b/>
          <w:bCs/>
          <w:color w:val="1F3864"/>
        </w:rPr>
        <w:t xml:space="preserve">Priority 6 — Employment Support: </w:t>
      </w:r>
      <w:r>
        <w:rPr>
          <w:color w:val="404040"/>
        </w:rPr>
        <w:t>Strengthen career counseling and job placement services. At exit, 52% of completers were still seeking employment; among alumni, 83% are now employed, suggesting the transition occurs but could be accelerated. (Supported by: completer and alumni employment data)</w:t>
      </w:r>
    </w:p>
    <w:p w14:paraId="0348F36E" w14:textId="77777777" w:rsidR="009B0ED7" w:rsidRDefault="00000000">
      <w:pPr>
        <w:pStyle w:val="Heading1"/>
      </w:pPr>
      <w:r>
        <w:t>8. Limitations</w:t>
      </w:r>
    </w:p>
    <w:p w14:paraId="20AF6D5F" w14:textId="77777777" w:rsidR="009B0ED7" w:rsidRDefault="00000000">
      <w:pPr>
        <w:spacing w:before="80" w:after="80" w:line="276" w:lineRule="auto"/>
      </w:pPr>
      <w:r>
        <w:rPr>
          <w:color w:val="404040"/>
        </w:rPr>
        <w:t>Several limitations should be considered when interpreting these findings:</w:t>
      </w:r>
    </w:p>
    <w:p w14:paraId="0503A804" w14:textId="77777777" w:rsidR="009B0ED7" w:rsidRDefault="00000000">
      <w:pPr>
        <w:pStyle w:val="ListParagraph"/>
        <w:numPr>
          <w:ilvl w:val="0"/>
          <w:numId w:val="3"/>
        </w:numPr>
        <w:spacing w:before="60" w:after="60"/>
      </w:pPr>
      <w:r>
        <w:rPr>
          <w:color w:val="404040"/>
        </w:rPr>
        <w:t>Sample sizes are modest (n = 25 completers, n = 12 alumni, n = 11 employers), reflecting the scale of the program. The EPP is actively working to expand respondent pools in future cycles.</w:t>
      </w:r>
    </w:p>
    <w:p w14:paraId="7851450A" w14:textId="77777777" w:rsidR="009B0ED7" w:rsidRDefault="00000000">
      <w:pPr>
        <w:pStyle w:val="ListParagraph"/>
        <w:numPr>
          <w:ilvl w:val="0"/>
          <w:numId w:val="3"/>
        </w:numPr>
        <w:spacing w:before="60" w:after="60"/>
      </w:pPr>
      <w:r>
        <w:rPr>
          <w:color w:val="404040"/>
        </w:rPr>
        <w:t>The employer survey used a different rating framework (expectations-based) than the completer/alumni surveys (preparedness-based), requiring cautious cross-instrument comparison.</w:t>
      </w:r>
    </w:p>
    <w:p w14:paraId="60D29B8C" w14:textId="77777777" w:rsidR="009B0ED7" w:rsidRDefault="00000000">
      <w:pPr>
        <w:pStyle w:val="ListParagraph"/>
        <w:numPr>
          <w:ilvl w:val="0"/>
          <w:numId w:val="3"/>
        </w:numPr>
        <w:spacing w:before="60" w:after="60"/>
      </w:pPr>
      <w:r>
        <w:rPr>
          <w:color w:val="404040"/>
        </w:rPr>
        <w:t>Alumni respondents span multiple cohorts (2021–2025), introducing potential cohort effects, particularly for technology-related items where earlier cohorts may have had less exposure.</w:t>
      </w:r>
    </w:p>
    <w:p w14:paraId="0AA640ED" w14:textId="77777777" w:rsidR="009B0ED7" w:rsidRDefault="00000000">
      <w:pPr>
        <w:pStyle w:val="ListParagraph"/>
        <w:numPr>
          <w:ilvl w:val="0"/>
          <w:numId w:val="3"/>
        </w:numPr>
        <w:spacing w:before="60" w:after="60"/>
      </w:pPr>
      <w:r>
        <w:rPr>
          <w:color w:val="404040"/>
        </w:rPr>
        <w:t>Not all employer respondents may have had direct supervisory experience with recent PPM completers.</w:t>
      </w:r>
    </w:p>
    <w:p w14:paraId="27156944" w14:textId="77777777" w:rsidR="009B0ED7" w:rsidRDefault="00000000">
      <w:pPr>
        <w:pStyle w:val="ListParagraph"/>
        <w:numPr>
          <w:ilvl w:val="0"/>
          <w:numId w:val="3"/>
        </w:numPr>
        <w:spacing w:before="60" w:after="60"/>
      </w:pPr>
      <w:r>
        <w:rPr>
          <w:color w:val="404040"/>
        </w:rPr>
        <w:t>Self-report bias is inherent in completer and alumni data, though triangulation with employer data partially mitigates this limitation.</w:t>
      </w:r>
    </w:p>
    <w:p w14:paraId="7B740CC6" w14:textId="77777777" w:rsidR="009B0ED7" w:rsidRDefault="00000000">
      <w:pPr>
        <w:pStyle w:val="Heading1"/>
      </w:pPr>
      <w:r>
        <w:t>9. Conclusion</w:t>
      </w:r>
    </w:p>
    <w:p w14:paraId="2E1AF52D" w14:textId="77777777" w:rsidR="009B0ED7" w:rsidRDefault="00000000">
      <w:pPr>
        <w:spacing w:before="80" w:after="80" w:line="276" w:lineRule="auto"/>
      </w:pPr>
      <w:r>
        <w:rPr>
          <w:color w:val="404040"/>
        </w:rPr>
        <w:t>The triangulated analysis of completer, alumni, and employer survey data provides a comprehensive and multi-perspective view of the PPM’s effectiveness. The convergence of findings across three independent data sources strengthens confidence in the conclusions drawn.</w:t>
      </w:r>
    </w:p>
    <w:p w14:paraId="5B3C92BE" w14:textId="77777777" w:rsidR="009B0ED7" w:rsidRDefault="00000000">
      <w:pPr>
        <w:spacing w:before="80" w:after="80" w:line="276" w:lineRule="auto"/>
      </w:pPr>
      <w:r>
        <w:rPr>
          <w:color w:val="404040"/>
        </w:rPr>
        <w:lastRenderedPageBreak/>
        <w:t>The program demonstrates clear strengths in preparing educators who create positive learning environments, demonstrate strong professional dispositions, possess solid content knowledge, and benefit from high-quality faculty mentorship. These strengths are validated across all stakeholder groups and provide compelling evidence of program impact under CAEP Standards 1 and 4.</w:t>
      </w:r>
    </w:p>
    <w:p w14:paraId="3DD6633B" w14:textId="77777777" w:rsidR="009B0ED7" w:rsidRDefault="00000000">
      <w:pPr>
        <w:spacing w:before="80" w:after="80" w:line="276" w:lineRule="auto"/>
      </w:pPr>
      <w:r>
        <w:rPr>
          <w:color w:val="404040"/>
        </w:rPr>
        <w:t>At the same time, the triangulated data identify five priority areas for improvement — technology/AI integration, assessment literacy, clinical experience coordination, differentiated instruction, and professional organization engagement — all of which are supported by evidence from at least two data sources. The EPP has integrated these findings into its Quality Assurance System and has initiated targeted actions to address each identified area.</w:t>
      </w:r>
    </w:p>
    <w:p w14:paraId="64A9B0F6" w14:textId="77777777" w:rsidR="009B0ED7" w:rsidRDefault="00000000">
      <w:pPr>
        <w:spacing w:before="80" w:after="80" w:line="276" w:lineRule="auto"/>
      </w:pPr>
      <w:r>
        <w:rPr>
          <w:color w:val="404040"/>
        </w:rPr>
        <w:t>These data, along with the individual survey reports (Informe 1: Completers, Informe 2: Alumni, Informe 3: Employers), constitute the EPP’s evidence base for CAEP Standard 4 (Program Impact) and support the program’s commitment to continuous improvement under Standard 5.</w:t>
      </w:r>
    </w:p>
    <w:p w14:paraId="5CF6C819" w14:textId="77777777" w:rsidR="009B0ED7" w:rsidRDefault="009B0ED7">
      <w:pPr>
        <w:spacing w:before="40" w:after="40"/>
      </w:pPr>
    </w:p>
    <w:p w14:paraId="02675528" w14:textId="77777777" w:rsidR="009B0ED7" w:rsidRDefault="009B0ED7">
      <w:pPr>
        <w:pBdr>
          <w:bottom w:val="single" w:sz="6" w:space="1" w:color="2E75B6"/>
        </w:pBdr>
        <w:jc w:val="center"/>
      </w:pPr>
    </w:p>
    <w:p w14:paraId="513A8C7D" w14:textId="77777777" w:rsidR="009B0ED7" w:rsidRDefault="009B0ED7">
      <w:pPr>
        <w:spacing w:before="40" w:after="40"/>
      </w:pPr>
    </w:p>
    <w:p w14:paraId="4E2C70A7" w14:textId="77777777" w:rsidR="009B0ED7" w:rsidRDefault="00000000">
      <w:pPr>
        <w:jc w:val="center"/>
      </w:pPr>
      <w:r>
        <w:rPr>
          <w:i/>
          <w:iCs/>
          <w:color w:val="2E75B6"/>
        </w:rPr>
        <w:t>End of Report</w:t>
      </w:r>
    </w:p>
    <w:p w14:paraId="19EA8DF6" w14:textId="77777777" w:rsidR="009B0ED7" w:rsidRDefault="00000000">
      <w:pPr>
        <w:jc w:val="center"/>
      </w:pPr>
      <w:r>
        <w:rPr>
          <w:i/>
          <w:iCs/>
          <w:color w:val="404040"/>
          <w:sz w:val="18"/>
          <w:szCs w:val="18"/>
        </w:rPr>
        <w:t>Prepared by the Teacher Preparation Program (PPM), UPRM</w:t>
      </w:r>
    </w:p>
    <w:sectPr w:rsidR="009B0ED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8448" w14:textId="77777777" w:rsidR="006E6FC6" w:rsidRDefault="006E6FC6">
      <w:r>
        <w:separator/>
      </w:r>
    </w:p>
  </w:endnote>
  <w:endnote w:type="continuationSeparator" w:id="0">
    <w:p w14:paraId="7A1E2CE0" w14:textId="77777777" w:rsidR="006E6FC6" w:rsidRDefault="006E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8413" w14:textId="77777777" w:rsidR="009B0ED7" w:rsidRDefault="00000000">
    <w:pPr>
      <w:jc w:val="center"/>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D129A1">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9E9F" w14:textId="77777777" w:rsidR="006E6FC6" w:rsidRDefault="006E6FC6">
      <w:r>
        <w:separator/>
      </w:r>
    </w:p>
  </w:footnote>
  <w:footnote w:type="continuationSeparator" w:id="0">
    <w:p w14:paraId="30479291" w14:textId="77777777" w:rsidR="006E6FC6" w:rsidRDefault="006E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03D2" w14:textId="77777777" w:rsidR="009B0ED7" w:rsidRDefault="00000000">
    <w:pPr>
      <w:jc w:val="right"/>
    </w:pPr>
    <w:r>
      <w:rPr>
        <w:i/>
        <w:iCs/>
        <w:color w:val="999999"/>
        <w:sz w:val="16"/>
        <w:szCs w:val="16"/>
      </w:rPr>
      <w:t>Triangulated Analysis | PPM UPRM |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152AF"/>
    <w:multiLevelType w:val="hybridMultilevel"/>
    <w:tmpl w:val="B46403E4"/>
    <w:lvl w:ilvl="0" w:tplc="928A2EF8">
      <w:start w:val="1"/>
      <w:numFmt w:val="bullet"/>
      <w:lvlText w:val="•"/>
      <w:lvlJc w:val="left"/>
      <w:pPr>
        <w:ind w:left="720" w:hanging="360"/>
      </w:pPr>
    </w:lvl>
    <w:lvl w:ilvl="1" w:tplc="52EA7034">
      <w:numFmt w:val="decimal"/>
      <w:lvlText w:val=""/>
      <w:lvlJc w:val="left"/>
    </w:lvl>
    <w:lvl w:ilvl="2" w:tplc="ED70A2E0">
      <w:numFmt w:val="decimal"/>
      <w:lvlText w:val=""/>
      <w:lvlJc w:val="left"/>
    </w:lvl>
    <w:lvl w:ilvl="3" w:tplc="EAFC56E8">
      <w:numFmt w:val="decimal"/>
      <w:lvlText w:val=""/>
      <w:lvlJc w:val="left"/>
    </w:lvl>
    <w:lvl w:ilvl="4" w:tplc="7EF60394">
      <w:numFmt w:val="decimal"/>
      <w:lvlText w:val=""/>
      <w:lvlJc w:val="left"/>
    </w:lvl>
    <w:lvl w:ilvl="5" w:tplc="7CB241C4">
      <w:numFmt w:val="decimal"/>
      <w:lvlText w:val=""/>
      <w:lvlJc w:val="left"/>
    </w:lvl>
    <w:lvl w:ilvl="6" w:tplc="6150C066">
      <w:numFmt w:val="decimal"/>
      <w:lvlText w:val=""/>
      <w:lvlJc w:val="left"/>
    </w:lvl>
    <w:lvl w:ilvl="7" w:tplc="BB5C42AC">
      <w:numFmt w:val="decimal"/>
      <w:lvlText w:val=""/>
      <w:lvlJc w:val="left"/>
    </w:lvl>
    <w:lvl w:ilvl="8" w:tplc="2DEC206C">
      <w:numFmt w:val="decimal"/>
      <w:lvlText w:val=""/>
      <w:lvlJc w:val="left"/>
    </w:lvl>
  </w:abstractNum>
  <w:abstractNum w:abstractNumId="1" w15:restartNumberingAfterBreak="0">
    <w:nsid w:val="51D102F4"/>
    <w:multiLevelType w:val="hybridMultilevel"/>
    <w:tmpl w:val="D0F250BC"/>
    <w:lvl w:ilvl="0" w:tplc="8E445C06">
      <w:start w:val="1"/>
      <w:numFmt w:val="bullet"/>
      <w:lvlText w:val="•"/>
      <w:lvlJc w:val="left"/>
      <w:pPr>
        <w:ind w:left="720" w:hanging="360"/>
      </w:pPr>
    </w:lvl>
    <w:lvl w:ilvl="1" w:tplc="AC606AE4">
      <w:numFmt w:val="decimal"/>
      <w:lvlText w:val=""/>
      <w:lvlJc w:val="left"/>
    </w:lvl>
    <w:lvl w:ilvl="2" w:tplc="2C54FDA2">
      <w:numFmt w:val="decimal"/>
      <w:lvlText w:val=""/>
      <w:lvlJc w:val="left"/>
    </w:lvl>
    <w:lvl w:ilvl="3" w:tplc="F1829430">
      <w:numFmt w:val="decimal"/>
      <w:lvlText w:val=""/>
      <w:lvlJc w:val="left"/>
    </w:lvl>
    <w:lvl w:ilvl="4" w:tplc="801403D6">
      <w:numFmt w:val="decimal"/>
      <w:lvlText w:val=""/>
      <w:lvlJc w:val="left"/>
    </w:lvl>
    <w:lvl w:ilvl="5" w:tplc="79DECE54">
      <w:numFmt w:val="decimal"/>
      <w:lvlText w:val=""/>
      <w:lvlJc w:val="left"/>
    </w:lvl>
    <w:lvl w:ilvl="6" w:tplc="1706C894">
      <w:numFmt w:val="decimal"/>
      <w:lvlText w:val=""/>
      <w:lvlJc w:val="left"/>
    </w:lvl>
    <w:lvl w:ilvl="7" w:tplc="5EA09320">
      <w:numFmt w:val="decimal"/>
      <w:lvlText w:val=""/>
      <w:lvlJc w:val="left"/>
    </w:lvl>
    <w:lvl w:ilvl="8" w:tplc="C0E806C4">
      <w:numFmt w:val="decimal"/>
      <w:lvlText w:val=""/>
      <w:lvlJc w:val="left"/>
    </w:lvl>
  </w:abstractNum>
  <w:abstractNum w:abstractNumId="2" w15:restartNumberingAfterBreak="0">
    <w:nsid w:val="55241EB3"/>
    <w:multiLevelType w:val="hybridMultilevel"/>
    <w:tmpl w:val="C6B0E6D4"/>
    <w:lvl w:ilvl="0" w:tplc="EED28D0A">
      <w:start w:val="1"/>
      <w:numFmt w:val="decimal"/>
      <w:lvlText w:val="%1."/>
      <w:lvlJc w:val="left"/>
      <w:pPr>
        <w:ind w:left="720" w:hanging="360"/>
      </w:pPr>
    </w:lvl>
    <w:lvl w:ilvl="1" w:tplc="452ADC1E">
      <w:numFmt w:val="decimal"/>
      <w:lvlText w:val=""/>
      <w:lvlJc w:val="left"/>
    </w:lvl>
    <w:lvl w:ilvl="2" w:tplc="28966402">
      <w:numFmt w:val="decimal"/>
      <w:lvlText w:val=""/>
      <w:lvlJc w:val="left"/>
    </w:lvl>
    <w:lvl w:ilvl="3" w:tplc="35C8B290">
      <w:numFmt w:val="decimal"/>
      <w:lvlText w:val=""/>
      <w:lvlJc w:val="left"/>
    </w:lvl>
    <w:lvl w:ilvl="4" w:tplc="AD0636C0">
      <w:numFmt w:val="decimal"/>
      <w:lvlText w:val=""/>
      <w:lvlJc w:val="left"/>
    </w:lvl>
    <w:lvl w:ilvl="5" w:tplc="CFC69FCE">
      <w:numFmt w:val="decimal"/>
      <w:lvlText w:val=""/>
      <w:lvlJc w:val="left"/>
    </w:lvl>
    <w:lvl w:ilvl="6" w:tplc="4E9073FE">
      <w:numFmt w:val="decimal"/>
      <w:lvlText w:val=""/>
      <w:lvlJc w:val="left"/>
    </w:lvl>
    <w:lvl w:ilvl="7" w:tplc="4E2ECD68">
      <w:numFmt w:val="decimal"/>
      <w:lvlText w:val=""/>
      <w:lvlJc w:val="left"/>
    </w:lvl>
    <w:lvl w:ilvl="8" w:tplc="CCF20D5A">
      <w:numFmt w:val="decimal"/>
      <w:lvlText w:val=""/>
      <w:lvlJc w:val="left"/>
    </w:lvl>
  </w:abstractNum>
  <w:abstractNum w:abstractNumId="3" w15:restartNumberingAfterBreak="0">
    <w:nsid w:val="5F377FF7"/>
    <w:multiLevelType w:val="hybridMultilevel"/>
    <w:tmpl w:val="19926A14"/>
    <w:lvl w:ilvl="0" w:tplc="04BAD124">
      <w:start w:val="1"/>
      <w:numFmt w:val="bullet"/>
      <w:lvlText w:val="•"/>
      <w:lvlJc w:val="left"/>
      <w:pPr>
        <w:ind w:left="720" w:hanging="360"/>
      </w:pPr>
    </w:lvl>
    <w:lvl w:ilvl="1" w:tplc="00F65F76">
      <w:numFmt w:val="decimal"/>
      <w:lvlText w:val=""/>
      <w:lvlJc w:val="left"/>
    </w:lvl>
    <w:lvl w:ilvl="2" w:tplc="C65EB596">
      <w:numFmt w:val="decimal"/>
      <w:lvlText w:val=""/>
      <w:lvlJc w:val="left"/>
    </w:lvl>
    <w:lvl w:ilvl="3" w:tplc="F29CE91C">
      <w:numFmt w:val="decimal"/>
      <w:lvlText w:val=""/>
      <w:lvlJc w:val="left"/>
    </w:lvl>
    <w:lvl w:ilvl="4" w:tplc="7AE6678C">
      <w:numFmt w:val="decimal"/>
      <w:lvlText w:val=""/>
      <w:lvlJc w:val="left"/>
    </w:lvl>
    <w:lvl w:ilvl="5" w:tplc="F116A1C8">
      <w:numFmt w:val="decimal"/>
      <w:lvlText w:val=""/>
      <w:lvlJc w:val="left"/>
    </w:lvl>
    <w:lvl w:ilvl="6" w:tplc="F7EE2A5E">
      <w:numFmt w:val="decimal"/>
      <w:lvlText w:val=""/>
      <w:lvlJc w:val="left"/>
    </w:lvl>
    <w:lvl w:ilvl="7" w:tplc="C3A405D2">
      <w:numFmt w:val="decimal"/>
      <w:lvlText w:val=""/>
      <w:lvlJc w:val="left"/>
    </w:lvl>
    <w:lvl w:ilvl="8" w:tplc="9CF872C4">
      <w:numFmt w:val="decimal"/>
      <w:lvlText w:val=""/>
      <w:lvlJc w:val="left"/>
    </w:lvl>
  </w:abstractNum>
  <w:abstractNum w:abstractNumId="4" w15:restartNumberingAfterBreak="0">
    <w:nsid w:val="5F910FB6"/>
    <w:multiLevelType w:val="hybridMultilevel"/>
    <w:tmpl w:val="FDFA2204"/>
    <w:lvl w:ilvl="0" w:tplc="74660D22">
      <w:start w:val="1"/>
      <w:numFmt w:val="bullet"/>
      <w:lvlText w:val="•"/>
      <w:lvlJc w:val="left"/>
      <w:pPr>
        <w:ind w:left="720" w:hanging="360"/>
      </w:pPr>
    </w:lvl>
    <w:lvl w:ilvl="1" w:tplc="3CACE85A">
      <w:numFmt w:val="decimal"/>
      <w:lvlText w:val=""/>
      <w:lvlJc w:val="left"/>
    </w:lvl>
    <w:lvl w:ilvl="2" w:tplc="7AC41DF0">
      <w:numFmt w:val="decimal"/>
      <w:lvlText w:val=""/>
      <w:lvlJc w:val="left"/>
    </w:lvl>
    <w:lvl w:ilvl="3" w:tplc="E2D80C92">
      <w:numFmt w:val="decimal"/>
      <w:lvlText w:val=""/>
      <w:lvlJc w:val="left"/>
    </w:lvl>
    <w:lvl w:ilvl="4" w:tplc="8800FB8C">
      <w:numFmt w:val="decimal"/>
      <w:lvlText w:val=""/>
      <w:lvlJc w:val="left"/>
    </w:lvl>
    <w:lvl w:ilvl="5" w:tplc="EE20D0B2">
      <w:numFmt w:val="decimal"/>
      <w:lvlText w:val=""/>
      <w:lvlJc w:val="left"/>
    </w:lvl>
    <w:lvl w:ilvl="6" w:tplc="CCE6129A">
      <w:numFmt w:val="decimal"/>
      <w:lvlText w:val=""/>
      <w:lvlJc w:val="left"/>
    </w:lvl>
    <w:lvl w:ilvl="7" w:tplc="06FA25A2">
      <w:numFmt w:val="decimal"/>
      <w:lvlText w:val=""/>
      <w:lvlJc w:val="left"/>
    </w:lvl>
    <w:lvl w:ilvl="8" w:tplc="0E1450E2">
      <w:numFmt w:val="decimal"/>
      <w:lvlText w:val=""/>
      <w:lvlJc w:val="left"/>
    </w:lvl>
  </w:abstractNum>
  <w:abstractNum w:abstractNumId="5" w15:restartNumberingAfterBreak="0">
    <w:nsid w:val="725D1E8A"/>
    <w:multiLevelType w:val="hybridMultilevel"/>
    <w:tmpl w:val="B694D0B0"/>
    <w:lvl w:ilvl="0" w:tplc="6948914C">
      <w:start w:val="1"/>
      <w:numFmt w:val="bullet"/>
      <w:lvlText w:val="•"/>
      <w:lvlJc w:val="left"/>
      <w:pPr>
        <w:ind w:left="720" w:hanging="360"/>
      </w:pPr>
    </w:lvl>
    <w:lvl w:ilvl="1" w:tplc="BCE882F6">
      <w:numFmt w:val="decimal"/>
      <w:lvlText w:val=""/>
      <w:lvlJc w:val="left"/>
    </w:lvl>
    <w:lvl w:ilvl="2" w:tplc="BA2A6D7E">
      <w:numFmt w:val="decimal"/>
      <w:lvlText w:val=""/>
      <w:lvlJc w:val="left"/>
    </w:lvl>
    <w:lvl w:ilvl="3" w:tplc="158E51B4">
      <w:numFmt w:val="decimal"/>
      <w:lvlText w:val=""/>
      <w:lvlJc w:val="left"/>
    </w:lvl>
    <w:lvl w:ilvl="4" w:tplc="DAE64608">
      <w:numFmt w:val="decimal"/>
      <w:lvlText w:val=""/>
      <w:lvlJc w:val="left"/>
    </w:lvl>
    <w:lvl w:ilvl="5" w:tplc="28443902">
      <w:numFmt w:val="decimal"/>
      <w:lvlText w:val=""/>
      <w:lvlJc w:val="left"/>
    </w:lvl>
    <w:lvl w:ilvl="6" w:tplc="671CF38A">
      <w:numFmt w:val="decimal"/>
      <w:lvlText w:val=""/>
      <w:lvlJc w:val="left"/>
    </w:lvl>
    <w:lvl w:ilvl="7" w:tplc="AAD430B8">
      <w:numFmt w:val="decimal"/>
      <w:lvlText w:val=""/>
      <w:lvlJc w:val="left"/>
    </w:lvl>
    <w:lvl w:ilvl="8" w:tplc="5080D6D0">
      <w:numFmt w:val="decimal"/>
      <w:lvlText w:val=""/>
      <w:lvlJc w:val="left"/>
    </w:lvl>
  </w:abstractNum>
  <w:abstractNum w:abstractNumId="6" w15:restartNumberingAfterBreak="0">
    <w:nsid w:val="7E321F52"/>
    <w:multiLevelType w:val="hybridMultilevel"/>
    <w:tmpl w:val="6F3004F2"/>
    <w:lvl w:ilvl="0" w:tplc="145EB646">
      <w:start w:val="1"/>
      <w:numFmt w:val="bullet"/>
      <w:lvlText w:val="●"/>
      <w:lvlJc w:val="left"/>
      <w:pPr>
        <w:ind w:left="720" w:hanging="360"/>
      </w:pPr>
    </w:lvl>
    <w:lvl w:ilvl="1" w:tplc="25A69BD4">
      <w:start w:val="1"/>
      <w:numFmt w:val="bullet"/>
      <w:lvlText w:val="○"/>
      <w:lvlJc w:val="left"/>
      <w:pPr>
        <w:ind w:left="1440" w:hanging="360"/>
      </w:pPr>
    </w:lvl>
    <w:lvl w:ilvl="2" w:tplc="7A3E2186">
      <w:start w:val="1"/>
      <w:numFmt w:val="bullet"/>
      <w:lvlText w:val="■"/>
      <w:lvlJc w:val="left"/>
      <w:pPr>
        <w:ind w:left="2160" w:hanging="360"/>
      </w:pPr>
    </w:lvl>
    <w:lvl w:ilvl="3" w:tplc="746A789A">
      <w:start w:val="1"/>
      <w:numFmt w:val="bullet"/>
      <w:lvlText w:val="●"/>
      <w:lvlJc w:val="left"/>
      <w:pPr>
        <w:ind w:left="2880" w:hanging="360"/>
      </w:pPr>
    </w:lvl>
    <w:lvl w:ilvl="4" w:tplc="4402960A">
      <w:start w:val="1"/>
      <w:numFmt w:val="bullet"/>
      <w:lvlText w:val="○"/>
      <w:lvlJc w:val="left"/>
      <w:pPr>
        <w:ind w:left="3600" w:hanging="360"/>
      </w:pPr>
    </w:lvl>
    <w:lvl w:ilvl="5" w:tplc="610EA9FA">
      <w:start w:val="1"/>
      <w:numFmt w:val="bullet"/>
      <w:lvlText w:val="■"/>
      <w:lvlJc w:val="left"/>
      <w:pPr>
        <w:ind w:left="4320" w:hanging="360"/>
      </w:pPr>
    </w:lvl>
    <w:lvl w:ilvl="6" w:tplc="8A461D48">
      <w:start w:val="1"/>
      <w:numFmt w:val="bullet"/>
      <w:lvlText w:val="●"/>
      <w:lvlJc w:val="left"/>
      <w:pPr>
        <w:ind w:left="5040" w:hanging="360"/>
      </w:pPr>
    </w:lvl>
    <w:lvl w:ilvl="7" w:tplc="CF84A376">
      <w:start w:val="1"/>
      <w:numFmt w:val="bullet"/>
      <w:lvlText w:val="●"/>
      <w:lvlJc w:val="left"/>
      <w:pPr>
        <w:ind w:left="5760" w:hanging="360"/>
      </w:pPr>
    </w:lvl>
    <w:lvl w:ilvl="8" w:tplc="58726BF0">
      <w:start w:val="1"/>
      <w:numFmt w:val="bullet"/>
      <w:lvlText w:val="●"/>
      <w:lvlJc w:val="left"/>
      <w:pPr>
        <w:ind w:left="6480" w:hanging="360"/>
      </w:pPr>
    </w:lvl>
  </w:abstractNum>
  <w:num w:numId="1" w16cid:durableId="1620717403">
    <w:abstractNumId w:val="6"/>
    <w:lvlOverride w:ilvl="0">
      <w:startOverride w:val="1"/>
    </w:lvlOverride>
  </w:num>
  <w:num w:numId="2" w16cid:durableId="210313832">
    <w:abstractNumId w:val="0"/>
    <w:lvlOverride w:ilvl="0">
      <w:startOverride w:val="1"/>
    </w:lvlOverride>
  </w:num>
  <w:num w:numId="3" w16cid:durableId="22931586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D7"/>
    <w:rsid w:val="006E6FC6"/>
    <w:rsid w:val="008C0EC9"/>
    <w:rsid w:val="009B0ED7"/>
    <w:rsid w:val="00D129A1"/>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1D068648"/>
  <w15:docId w15:val="{30B64F55-F8C0-CB4A-B69C-44B62BD4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80" w:after="16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2041</Words>
  <Characters>13379</Characters>
  <Application>Microsoft Office Word</Application>
  <DocSecurity>0</DocSecurity>
  <Lines>394</Lines>
  <Paragraphs>244</Paragraphs>
  <ScaleCrop>false</ScaleCrop>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Janette Ferrer Montes</cp:lastModifiedBy>
  <cp:revision>2</cp:revision>
  <dcterms:created xsi:type="dcterms:W3CDTF">2026-04-14T00:35:00Z</dcterms:created>
  <dcterms:modified xsi:type="dcterms:W3CDTF">2026-04-14T00:35:00Z</dcterms:modified>
</cp:coreProperties>
</file>